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40" w:lineRule="atLeast"/>
        <w:jc w:val="left"/>
        <w:rPr>
          <w:rFonts w:hint="eastAsia" w:ascii="黑体" w:hAnsi="黑体" w:eastAsia="黑体" w:cs="黑体"/>
          <w:b w:val="0"/>
          <w:bCs/>
          <w:sz w:val="30"/>
          <w:szCs w:val="30"/>
          <w:lang w:val="en-US" w:eastAsia="zh-CN"/>
        </w:rPr>
      </w:pPr>
      <w:r>
        <w:rPr>
          <w:rFonts w:hint="eastAsia" w:ascii="黑体" w:hAnsi="黑体" w:eastAsia="黑体" w:cs="黑体"/>
          <w:b w:val="0"/>
          <w:bCs/>
          <w:sz w:val="30"/>
          <w:szCs w:val="30"/>
          <w:lang w:val="en-US" w:eastAsia="zh-CN"/>
        </w:rPr>
        <w:t>附件1</w:t>
      </w:r>
    </w:p>
    <w:p>
      <w:pPr>
        <w:snapToGrid w:val="0"/>
        <w:spacing w:line="340" w:lineRule="atLeast"/>
        <w:jc w:val="center"/>
        <w:rPr>
          <w:rFonts w:hint="eastAsia"/>
          <w:b/>
          <w:sz w:val="28"/>
          <w:szCs w:val="28"/>
          <w:lang w:val="en-US" w:eastAsia="zh-CN"/>
        </w:rPr>
      </w:pPr>
      <w:r>
        <w:rPr>
          <w:rFonts w:hint="eastAsia"/>
          <w:b/>
          <w:sz w:val="28"/>
          <w:szCs w:val="28"/>
          <w:lang w:val="en-US" w:eastAsia="zh-CN"/>
        </w:rPr>
        <w:t xml:space="preserve"> </w:t>
      </w:r>
    </w:p>
    <w:p>
      <w:pPr>
        <w:snapToGrid w:val="0"/>
        <w:spacing w:line="340" w:lineRule="atLeast"/>
        <w:jc w:val="center"/>
        <w:rPr>
          <w:rFonts w:hint="eastAsia" w:ascii="华文中宋" w:hAnsi="华文中宋" w:eastAsia="华文中宋" w:cs="华文中宋"/>
          <w:b/>
          <w:sz w:val="32"/>
          <w:szCs w:val="32"/>
        </w:rPr>
      </w:pPr>
      <w:r>
        <w:rPr>
          <w:rFonts w:hint="eastAsia" w:ascii="华文中宋" w:hAnsi="华文中宋" w:eastAsia="华文中宋" w:cs="华文中宋"/>
          <w:b/>
          <w:sz w:val="32"/>
          <w:szCs w:val="32"/>
        </w:rPr>
        <w:t>2018-2019年度上海材料研究所学位与研究生教育</w:t>
      </w:r>
    </w:p>
    <w:p>
      <w:pPr>
        <w:snapToGrid w:val="0"/>
        <w:spacing w:line="340" w:lineRule="atLeast"/>
        <w:jc w:val="center"/>
        <w:rPr>
          <w:rFonts w:hint="eastAsia" w:ascii="华文中宋" w:hAnsi="华文中宋" w:eastAsia="华文中宋" w:cs="华文中宋"/>
          <w:b/>
          <w:sz w:val="32"/>
          <w:szCs w:val="32"/>
        </w:rPr>
      </w:pPr>
      <w:r>
        <w:rPr>
          <w:rFonts w:hint="eastAsia" w:ascii="华文中宋" w:hAnsi="华文中宋" w:eastAsia="华文中宋" w:cs="华文中宋"/>
          <w:b/>
          <w:sz w:val="32"/>
          <w:szCs w:val="32"/>
        </w:rPr>
        <w:t>质量</w:t>
      </w:r>
      <w:bookmarkStart w:id="0" w:name="_GoBack"/>
      <w:bookmarkEnd w:id="0"/>
      <w:r>
        <w:rPr>
          <w:rFonts w:hint="eastAsia" w:ascii="华文中宋" w:hAnsi="华文中宋" w:eastAsia="华文中宋" w:cs="华文中宋"/>
          <w:b/>
          <w:sz w:val="32"/>
          <w:szCs w:val="32"/>
        </w:rPr>
        <w:t>报告</w:t>
      </w:r>
    </w:p>
    <w:p>
      <w:pPr>
        <w:snapToGrid w:val="0"/>
        <w:spacing w:line="340" w:lineRule="atLeast"/>
        <w:jc w:val="center"/>
        <w:rPr>
          <w:rFonts w:hint="eastAsia" w:ascii="黑体" w:hAnsi="黑体" w:eastAsia="黑体" w:cs="黑体"/>
          <w:b w:val="0"/>
          <w:bCs/>
          <w:sz w:val="28"/>
          <w:szCs w:val="28"/>
        </w:rPr>
      </w:pPr>
    </w:p>
    <w:p>
      <w:pPr>
        <w:numPr>
          <w:ilvl w:val="0"/>
          <w:numId w:val="0"/>
        </w:numPr>
        <w:snapToGrid w:val="0"/>
        <w:spacing w:line="340" w:lineRule="atLeast"/>
        <w:ind w:leftChars="0"/>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一、</w:t>
      </w:r>
      <w:r>
        <w:rPr>
          <w:rFonts w:hint="eastAsia" w:ascii="黑体" w:hAnsi="黑体" w:eastAsia="黑体" w:cs="黑体"/>
          <w:b w:val="0"/>
          <w:bCs/>
          <w:sz w:val="28"/>
          <w:szCs w:val="28"/>
        </w:rPr>
        <w:t>学位与研究生教育概况</w:t>
      </w:r>
    </w:p>
    <w:p>
      <w:pPr>
        <w:numPr>
          <w:ilvl w:val="0"/>
          <w:numId w:val="0"/>
        </w:numPr>
        <w:snapToGrid w:val="0"/>
        <w:spacing w:line="340" w:lineRule="atLeast"/>
        <w:ind w:leftChars="0"/>
        <w:rPr>
          <w:rFonts w:hint="eastAsia" w:ascii="黑体" w:hAnsi="黑体" w:eastAsia="黑体" w:cs="黑体"/>
          <w:b w:val="0"/>
          <w:bCs/>
          <w:sz w:val="28"/>
          <w:szCs w:val="28"/>
        </w:rPr>
      </w:pP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上海材料研究所始建于1946年，其前身是当时国民政府资源委员会下属材料供应事务所的一个负责材料性能试验的单位。从1956年开始，上材所一直是原国家机械工业部的直属事业单位，主要承担我国机械制造用材料的共性技术研究和制造业专用材料研发，同时开展材料检测方法的研究和行业公共技术服务。主要业务领域涵盖特种和先进金属材料、高分子及其复合材料、增材制造技术、消能减震技术及产品、工程陶瓷材料、材料检测与评价、期刊及展览服务等。建所七十余年来，上材所始终坚持以服务国家重大战略和产业发展的重大需求为导向, 通过自主创新和集成创新,开发了大量的工程新材料及应用的关键技术，为相关产业竞争力的提升和重大工程建设提供了重要的技术支撑。现已成为在国内外享有较高声誉的工程材料技术骨干研发机构和公正、权威的第三方材料检验检测评价机构。</w:t>
      </w:r>
    </w:p>
    <w:p>
      <w:pPr>
        <w:snapToGrid w:val="0"/>
        <w:spacing w:line="360" w:lineRule="auto"/>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上材所先后承担和完成了多项国家863、973项目、科技部、机械部及上海市重点科技攻关项目，填补了多项国内空白，先后荣获包括国家科技进步一等奖等各类奖项200多次。在消能减震技术及相关产品、高分子复合材料端盖、增材制造用金属粉末制备、标准物质研制、材料检验检测等重点领域，突破了一批产业和工程急需的关键技术和瓶颈，形成了一系列拥有自主知识产权和独特优势的产品、技术及综合解决方案，许多技术处于国际先进、国内领先水平，已占据国内市场主导地位，并参与了国际市场竞争。在1981年和1983年，经政府批准，上海材料研究所分别建立了“测试计量技术及仪器”和“金属材料和热处理”（现已经改名为“材料学”）两个硕士点，2010年经教育部批准设立了“材料科学与工程”一级学科硕士点。“材料科学与工程”一级学科硕士点中二级学科“材料学”设有专业方向为材料组分的化学分析方法研究、材料的失效分析及评估、材料的腐蚀与防护、先进陶瓷材料、金属与粉体材料、高分子复合材料等。“测试计量术及仪器”二级学科硕士点设有专业方向为材料的无损检测和减震与消能技术。至今已培养一百多名硕士研究生。上海材料研究所培养硕士研究生注重基础教育，并在毕业论文的选题上注重与科研实际紧密结合，在研究内容上既注重提高理论水平又注重深入的实际科研实践，研究生在学期间就参加行业领域的学术活动，因此，毕业后能较主动并很快适应科研工作，我所培养的大多数毕业生已成为材料领域的优秀人才。上海材料研究所力争今后为国家和本所培养更多更优秀的人才。我所拥有国家级检测中心（实验室）1个：国家金属材料质量监督检验中心；工信部实验室（公共服务平台）2个：工信部工业产品质量控制和技术评价实验室（机械基础材料），首批工业和信息化部产业技术基础公共服务平台；行业级检测机构2个：机械工业材料质量检测中心，机械工业无损检测中心；市级工程中心和重点实验室（质监站）6个：上海失效分析及安全评估中心，上海市金属材料质量监督检验站，上海市建设工程质量检测机构，上海市工程材料应用与评价重点实验室，上海市消能减震工程技术研究中心，上海市3D打印材料工程技术研究中心；市级公共平台（4个）：上海市航空材料检测与评价专业技术服务平台，上海市金属材料检测分析与安全评估专业技术服务平台，上海市无损检测专业技术服务平台，上海市增材制造材料与检测工程研究中心。机械工业联合会工程研究中心（1个）：机械工业增材制造材料工程研究中心。定期公开出版的杂志有《机械工程材料》、《无损检测》、《理化检验-化学分册》、《理化检验-物理分册》、《腐蚀与防护》、《电力与能源》</w:t>
      </w:r>
      <w:r>
        <w:rPr>
          <w:rFonts w:hint="eastAsia" w:ascii="仿宋_GB2312" w:hAnsi="仿宋_GB2312" w:eastAsia="仿宋_GB2312" w:cs="仿宋_GB2312"/>
          <w:sz w:val="30"/>
          <w:szCs w:val="30"/>
          <w:lang w:eastAsia="zh-CN"/>
        </w:rPr>
        <w:t>。</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rPr>
        <w:t>二、学位授权学科、专业情况</w:t>
      </w:r>
    </w:p>
    <w:p>
      <w:pPr>
        <w:snapToGrid w:val="0"/>
        <w:spacing w:line="360" w:lineRule="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0805 材料科学与工程</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学科原起始于1983年国家教委批准的金属材料及热处理专业，经过三十多年本所科技工作的全面发展，此专业的科研方向除了材料的检测和评价技术外，已从围绕金属材料的研制和加工工艺发展到金属、非金属材料和复合材料的全面的研究与开发。1997年国家教委调整硕士研究生招生目录时，金属材料及热处理专业调整为材料学，2010年经教育部批准设立了“材料科学与工程”一级学科硕士点。目前此学科的研究生导师队伍中正高级职称13人，副高级职称4人。1999年以来获国家科技进步奖2项，省级进步奖11项。现拥有大型科研设备二十多台，目前在研科研项目80项，科研经费2000余万元。至今已培养硕士研究生百余人，目前在校生14人。</w:t>
      </w:r>
    </w:p>
    <w:p>
      <w:pPr>
        <w:snapToGrid w:val="0"/>
        <w:spacing w:line="360" w:lineRule="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二级学科“材料学”（080502）主要专业方向如下：</w:t>
      </w:r>
    </w:p>
    <w:p>
      <w:pPr>
        <w:snapToGrid w:val="0"/>
        <w:spacing w:line="360" w:lineRule="auto"/>
        <w:ind w:firstLine="602"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材料化学成分分析</w:t>
      </w:r>
      <w:r>
        <w:rPr>
          <w:rFonts w:hint="eastAsia" w:ascii="仿宋_GB2312" w:hAnsi="仿宋_GB2312" w:eastAsia="仿宋_GB2312" w:cs="仿宋_GB2312"/>
          <w:b/>
          <w:sz w:val="30"/>
          <w:szCs w:val="30"/>
          <w:lang w:eastAsia="zh-CN"/>
        </w:rPr>
        <w:t>：</w:t>
      </w:r>
      <w:r>
        <w:rPr>
          <w:rFonts w:hint="eastAsia" w:ascii="仿宋_GB2312" w:hAnsi="仿宋_GB2312" w:eastAsia="仿宋_GB2312" w:cs="仿宋_GB2312"/>
          <w:sz w:val="30"/>
          <w:szCs w:val="30"/>
        </w:rPr>
        <w:t>上海材料研究所以理化检验起家，长期以来从事材料的化学成分分析研究，在国内外享有盛誉</w:t>
      </w:r>
      <w:r>
        <w:rPr>
          <w:rFonts w:hint="eastAsia" w:ascii="仿宋_GB2312" w:hAnsi="仿宋_GB2312" w:eastAsia="仿宋_GB2312" w:cs="仿宋_GB2312"/>
          <w:b/>
          <w:color w:val="FF0000"/>
          <w:sz w:val="30"/>
          <w:szCs w:val="30"/>
        </w:rPr>
        <w:t>。</w:t>
      </w:r>
      <w:r>
        <w:rPr>
          <w:rFonts w:hint="eastAsia" w:ascii="仿宋_GB2312" w:hAnsi="仿宋_GB2312" w:eastAsia="仿宋_GB2312" w:cs="仿宋_GB2312"/>
          <w:color w:val="000000"/>
          <w:sz w:val="30"/>
          <w:szCs w:val="30"/>
        </w:rPr>
        <w:t>材料化学成分分析所研究的重点聚焦于解决生产实际问题，目前对优秀的材料化学成分分析方面人才的需求非常大。材料化学成分分析近年的发展是</w:t>
      </w:r>
      <w:r>
        <w:rPr>
          <w:rFonts w:hint="eastAsia" w:ascii="仿宋_GB2312" w:hAnsi="仿宋_GB2312" w:eastAsia="仿宋_GB2312" w:cs="仿宋_GB2312"/>
          <w:sz w:val="30"/>
          <w:szCs w:val="30"/>
        </w:rPr>
        <w:t>运用</w:t>
      </w:r>
      <w:r>
        <w:rPr>
          <w:rFonts w:hint="eastAsia" w:ascii="仿宋_GB2312" w:hAnsi="仿宋_GB2312" w:eastAsia="仿宋_GB2312" w:cs="仿宋_GB2312"/>
          <w:color w:val="000000"/>
          <w:sz w:val="30"/>
          <w:szCs w:val="30"/>
        </w:rPr>
        <w:t>先进的分析仪器和分</w:t>
      </w:r>
      <w:r>
        <w:rPr>
          <w:rFonts w:hint="eastAsia" w:ascii="仿宋_GB2312" w:hAnsi="仿宋_GB2312" w:eastAsia="仿宋_GB2312" w:cs="仿宋_GB2312"/>
          <w:sz w:val="30"/>
          <w:szCs w:val="30"/>
        </w:rPr>
        <w:t>析技术提高材</w:t>
      </w:r>
      <w:r>
        <w:rPr>
          <w:rFonts w:hint="eastAsia" w:ascii="仿宋_GB2312" w:hAnsi="仿宋_GB2312" w:eastAsia="仿宋_GB2312" w:cs="仿宋_GB2312"/>
          <w:color w:val="000000"/>
          <w:sz w:val="30"/>
          <w:szCs w:val="30"/>
        </w:rPr>
        <w:t>料的化学成分检测能级</w:t>
      </w:r>
      <w:r>
        <w:rPr>
          <w:rFonts w:hint="eastAsia" w:ascii="仿宋_GB2312" w:hAnsi="仿宋_GB2312" w:eastAsia="仿宋_GB2312" w:cs="仿宋_GB2312"/>
          <w:color w:val="C00000"/>
          <w:sz w:val="30"/>
          <w:szCs w:val="30"/>
        </w:rPr>
        <w:t>。</w:t>
      </w:r>
      <w:r>
        <w:rPr>
          <w:rFonts w:hint="eastAsia" w:ascii="仿宋_GB2312" w:hAnsi="仿宋_GB2312" w:eastAsia="仿宋_GB2312" w:cs="仿宋_GB2312"/>
          <w:color w:val="000000"/>
          <w:sz w:val="30"/>
          <w:szCs w:val="30"/>
        </w:rPr>
        <w:t>材料化学成分分析专业方向不仅实用价值高，而且发展空间大。近期的研究有民用航空用镍基高温合金化学成分测试方法的研究、镍基单晶高温合金中微量及痕量元素的ICP-MS分析方法等。</w:t>
      </w:r>
    </w:p>
    <w:p>
      <w:pPr>
        <w:widowControl/>
        <w:snapToGrid w:val="0"/>
        <w:spacing w:line="360" w:lineRule="auto"/>
        <w:ind w:firstLine="588" w:firstLineChars="196"/>
        <w:rPr>
          <w:rFonts w:hint="eastAsia" w:ascii="仿宋_GB2312" w:hAnsi="仿宋_GB2312" w:eastAsia="仿宋_GB2312" w:cs="仿宋_GB2312"/>
          <w:b/>
          <w:sz w:val="30"/>
          <w:szCs w:val="30"/>
        </w:rPr>
      </w:pPr>
      <w:r>
        <w:rPr>
          <w:rFonts w:hint="eastAsia" w:ascii="仿宋_GB2312" w:hAnsi="仿宋_GB2312" w:eastAsia="仿宋_GB2312" w:cs="仿宋_GB2312"/>
          <w:color w:val="000000"/>
          <w:sz w:val="30"/>
          <w:szCs w:val="30"/>
        </w:rPr>
        <w:t>历年来培养硕士研究生十多名。</w:t>
      </w:r>
      <w:r>
        <w:rPr>
          <w:rFonts w:hint="eastAsia" w:ascii="仿宋_GB2312" w:hAnsi="仿宋_GB2312" w:eastAsia="仿宋_GB2312" w:cs="仿宋_GB2312"/>
          <w:sz w:val="30"/>
          <w:szCs w:val="30"/>
        </w:rPr>
        <w:t>近期毕业论文主要有：《HG-AFS测定铝合金中砷、锑、镉、铅、锡的方法研究》、《镁及镁合金中多元素ICP-AES分析方法研究》、《HG-AFS在测定核电用钢及低镍不锈钢中痕量砷、锡、锑的方法研究》、《微波消解/ICP-AES法测定钴基合金中多元素的方法研究》、《微波消解/石墨炉原子吸收光谱法测定镍基高温合金中痕量元素的方法研究》、《HG-AFS法测定民用航空用镍基高温合金中痕量砷硒铋碲的研究》等。</w:t>
      </w:r>
    </w:p>
    <w:p>
      <w:pPr>
        <w:widowControl/>
        <w:snapToGrid w:val="0"/>
        <w:spacing w:line="360" w:lineRule="auto"/>
        <w:ind w:firstLine="590" w:firstLineChars="196"/>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材料失效分析与安全评估：</w:t>
      </w:r>
      <w:r>
        <w:rPr>
          <w:rFonts w:hint="eastAsia" w:ascii="仿宋_GB2312" w:hAnsi="仿宋_GB2312" w:eastAsia="仿宋_GB2312" w:cs="仿宋_GB2312"/>
          <w:sz w:val="30"/>
          <w:szCs w:val="30"/>
        </w:rPr>
        <w:t>上海材料研究所失效分析及安全评估工作始于改革开放初期，至今已有30余年的历史，是国内最早开展此类研究的单位之一。主要从事机械装备的失效和预防的研究，金属材料相关的安全评估研究等，行业遍布机械、冶金、航空航天、船舶、国防、建筑、核电等国民经济领域。在进行应用基础研究的同时，致力于理论与实践的结合，曾负责和参与了国家一批重大装备的运行失效原因的分析和国内外有重大影响的事故分析工作，如：磁浮列车“8.11火灾原因分析、某市液态二氧化碳储罐船爆炸原因分析、某地苯胺池泄漏事故分析、某地供热（蒸汽）直埋管道泄漏原因分析、LNG贮罐封头开裂原因分析、某城市天然气管道安全评估、锅炉燃烧器文丘里断裂原因分析、某核电728MW蒸汽涡轮发电机轴瓦失效分析、某核电站热交换器传热管泄漏原因分析、某地铁列车车钩梁开裂原因分析、螺旋桨导管内壁破裂原因分析等，曾组织过七次“全国失效分析会议”，1993年，上海市政府授权成立了“上海失效分析与安全评估中心”，目前是中国机械工程学会失效分析分会授权的失效分析网点单位。</w:t>
      </w:r>
    </w:p>
    <w:p>
      <w:pPr>
        <w:spacing w:before="60"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历年来培养硕士研究生十余名，近期的毕业论文主要有：《纳米压痕试验方法》、《高强度螺栓氢脆断裂失效的表征研究》、《GCr15钢的磨削开裂特征研究》、《</w:t>
      </w:r>
      <w:r>
        <w:rPr>
          <w:rFonts w:hint="eastAsia" w:ascii="仿宋_GB2312" w:hAnsi="仿宋_GB2312" w:eastAsia="仿宋_GB2312" w:cs="仿宋_GB2312"/>
          <w:bCs/>
          <w:spacing w:val="6"/>
          <w:sz w:val="30"/>
          <w:szCs w:val="30"/>
        </w:rPr>
        <w:t>国产300M钢疲劳特性研究》、《</w:t>
      </w:r>
      <w:r>
        <w:rPr>
          <w:rFonts w:hint="eastAsia" w:ascii="仿宋_GB2312" w:hAnsi="仿宋_GB2312" w:eastAsia="仿宋_GB2312" w:cs="仿宋_GB2312"/>
          <w:sz w:val="30"/>
          <w:szCs w:val="30"/>
        </w:rPr>
        <w:t>不锈钢X射线能谱定量分析方法研究》、《GCr15轴承钢残余奥氏体定量测试标样的制备方法及其关键技术研究》等。</w:t>
      </w:r>
    </w:p>
    <w:p>
      <w:pPr>
        <w:snapToGrid w:val="0"/>
        <w:spacing w:line="360" w:lineRule="auto"/>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材料的腐蚀与防护：</w:t>
      </w:r>
      <w:r>
        <w:rPr>
          <w:rFonts w:hint="eastAsia" w:ascii="仿宋_GB2312" w:hAnsi="仿宋_GB2312" w:eastAsia="仿宋_GB2312" w:cs="仿宋_GB2312"/>
          <w:sz w:val="30"/>
          <w:szCs w:val="30"/>
        </w:rPr>
        <w:t>上海材料研究所腐蚀与防护专业方向主要从事金属材料腐蚀与防护的基础研究和工业应用，其金属腐蚀与防护实验室始建于1957年初，后扩建为腐蚀与防护研究室。数十年来，在环境敏感断裂、腐蚀测试与失效分析、耐蚀材料、表面处理与防护技术等方面的研究开发中取得了不少成果，目前研究工作主要有如下几方面：</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1.承担</w:t>
      </w:r>
      <w:r>
        <w:rPr>
          <w:rFonts w:hint="eastAsia" w:ascii="仿宋_GB2312" w:hAnsi="仿宋_GB2312" w:eastAsia="仿宋_GB2312" w:cs="仿宋_GB2312"/>
          <w:color w:val="000000"/>
          <w:sz w:val="30"/>
          <w:szCs w:val="30"/>
        </w:rPr>
        <w:t>国家973重大基础研究基金、国家核电重大专项基金、国家科技部社会公益基金、</w:t>
      </w:r>
      <w:r>
        <w:rPr>
          <w:rFonts w:hint="eastAsia" w:ascii="仿宋_GB2312" w:hAnsi="仿宋_GB2312" w:eastAsia="仿宋_GB2312" w:cs="仿宋_GB2312"/>
          <w:sz w:val="30"/>
          <w:szCs w:val="30"/>
        </w:rPr>
        <w:t xml:space="preserve">上海市科委和工业界的若干项目，从事我国重要工程中的核电材料、埋地高压管线材料等在高温高压水溶液、土壤等复杂环境中应力腐蚀破裂、电化学腐蚀特性、腐蚀疲劳、长期使用可靠性、寿命预测和延寿等问题的基础研究并应用到工程实际，解决了许多重要工程问题。  </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2.作为国家金属材料质量监督检验中心、上海材料研究所检测中心的一部分，根据GB、ISO、ASTM、NACE等国内外标准，为国内外企业和科研机构提供各种材料腐蚀性能检测服务。</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3.工程材料相关腐蚀的失效分析。</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4.耐蚀材料、表面处理与防护技术的研究与应用。</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5.深海浮力及耐蚀特种金属材料关键技术的研究。</w:t>
      </w:r>
    </w:p>
    <w:p>
      <w:pPr>
        <w:snapToGrid w:val="0"/>
        <w:spacing w:line="360" w:lineRule="auto"/>
        <w:ind w:firstLine="450" w:firstLineChars="1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主要应用领域：核电、火电；石油、油气输送；化工、石油化工；海洋开发；航天航空；市政工程等。</w:t>
      </w:r>
    </w:p>
    <w:p>
      <w:pPr>
        <w:spacing w:line="360" w:lineRule="auto"/>
        <w:ind w:firstLine="750" w:firstLineChars="25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历年来培养硕士研究生二十余名，近期的毕业论文主要有：《管线钢在土壤环境中应力腐蚀破裂的研究》、《核电用奥氏体不锈钢应力腐蚀破裂预测模型中电化学和力学性能的研究》、《核电用异种金属焊接件A508/52M/316L组织与性能研究》、《两种结构钢的环境促进裂纹扩展行为与检测技术》、《异种金属焊接件SA508/52M/316L在模拟压水堆一回路水环境中的性能研究》、《水化学若干因素对核电用异种金属焊接件SA508-52M-316L应力腐蚀破裂的影响》、《高温水中微量杂质对异材焊接件A508/52M和52M/316L应力腐蚀破裂的影响》、《三种核电关键材料腐蚀性能的研究》、《核电用异种金属焊接件16MND5/309L/308L/Z2CND18-12N的显微组织和性能研究》、《环境因素16MND5/309L/308L/Z2CND18-12N异材焊接件应力腐蚀破裂的影响》等。</w:t>
      </w:r>
    </w:p>
    <w:p>
      <w:pPr>
        <w:tabs>
          <w:tab w:val="left" w:pos="2880"/>
        </w:tabs>
        <w:snapToGrid w:val="0"/>
        <w:spacing w:line="360" w:lineRule="auto"/>
        <w:ind w:right="25" w:rightChars="12"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先进陶瓷材料：</w:t>
      </w:r>
      <w:r>
        <w:rPr>
          <w:rFonts w:hint="eastAsia" w:ascii="仿宋_GB2312" w:hAnsi="仿宋_GB2312" w:eastAsia="仿宋_GB2312" w:cs="仿宋_GB2312"/>
          <w:sz w:val="30"/>
          <w:szCs w:val="30"/>
        </w:rPr>
        <w:t>先进陶瓷材料研究领域包括陶瓷轴承球及全陶瓷轴承、高耐磨耐腐蚀陶瓷材料、高纯高密度陶瓷材料，形成了陶瓷部件近净尺寸成形技术、</w:t>
      </w:r>
      <w:r>
        <w:rPr>
          <w:rFonts w:hint="eastAsia" w:ascii="仿宋_GB2312" w:hAnsi="仿宋_GB2312" w:eastAsia="仿宋_GB2312" w:cs="仿宋_GB2312"/>
          <w:bCs/>
          <w:color w:val="000000"/>
          <w:sz w:val="30"/>
          <w:szCs w:val="30"/>
        </w:rPr>
        <w:t>先进陶瓷3D打印制备技术、</w:t>
      </w:r>
      <w:r>
        <w:rPr>
          <w:rFonts w:hint="eastAsia" w:ascii="仿宋_GB2312" w:hAnsi="仿宋_GB2312" w:eastAsia="仿宋_GB2312" w:cs="仿宋_GB2312"/>
          <w:sz w:val="30"/>
          <w:szCs w:val="30"/>
        </w:rPr>
        <w:t>大尺寸陶瓷球精加工技术、高纯致密陶瓷件成套制备技术等先进的陶瓷加工技术。形成的精良的工艺设备包括多规格烧结炉、加压烧结设备、等静压设备、注塑成形设备、产品精加工设备以及齐全的产品质量检测仪器等。</w:t>
      </w:r>
    </w:p>
    <w:p>
      <w:pPr>
        <w:tabs>
          <w:tab w:val="left" w:pos="2880"/>
        </w:tabs>
        <w:snapToGrid w:val="0"/>
        <w:spacing w:line="360" w:lineRule="auto"/>
        <w:ind w:right="25" w:rightChars="12" w:firstLine="600"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历年来培养硕士研究生九人，近期毕业论文主要有：《氮化硅陶瓷材料及其球体的疲劳寿命研究》、《高纯高致密氧化铝陶瓷低温常压烧结研究》、《添加剂及制备工艺对ZrO</w:t>
      </w:r>
      <w:r>
        <w:rPr>
          <w:rFonts w:hint="eastAsia" w:ascii="仿宋_GB2312" w:hAnsi="仿宋_GB2312" w:eastAsia="仿宋_GB2312" w:cs="仿宋_GB2312"/>
          <w:sz w:val="30"/>
          <w:szCs w:val="30"/>
          <w:vertAlign w:val="subscript"/>
        </w:rPr>
        <w:t>2</w:t>
      </w:r>
      <w:r>
        <w:rPr>
          <w:rFonts w:hint="eastAsia" w:ascii="仿宋_GB2312" w:hAnsi="仿宋_GB2312" w:eastAsia="仿宋_GB2312" w:cs="仿宋_GB2312"/>
          <w:sz w:val="30"/>
          <w:szCs w:val="30"/>
        </w:rPr>
        <w:t>致密化影响的研究》、《工程陶瓷热等静压后处理研究》、《氧化锆陶瓷材料的晶粒生长控制研究》、《碳化硅陶瓷球的磨削机理研究》等。</w:t>
      </w:r>
    </w:p>
    <w:p>
      <w:pPr>
        <w:snapToGrid w:val="0"/>
        <w:spacing w:line="360" w:lineRule="auto"/>
        <w:ind w:firstLine="590" w:firstLineChars="196"/>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高分子复合材料：</w:t>
      </w:r>
      <w:r>
        <w:rPr>
          <w:rFonts w:hint="eastAsia" w:ascii="仿宋_GB2312" w:hAnsi="仿宋_GB2312" w:eastAsia="仿宋_GB2312" w:cs="仿宋_GB2312"/>
          <w:bCs/>
          <w:sz w:val="30"/>
          <w:szCs w:val="30"/>
        </w:rPr>
        <w:t>上海材料研究所</w:t>
      </w:r>
      <w:r>
        <w:rPr>
          <w:rFonts w:hint="eastAsia" w:ascii="仿宋_GB2312" w:hAnsi="仿宋_GB2312" w:eastAsia="仿宋_GB2312" w:cs="仿宋_GB2312"/>
          <w:sz w:val="30"/>
          <w:szCs w:val="30"/>
        </w:rPr>
        <w:t>高分子复合材料专业是在合成树脂、工程塑料、高分子功能材料的基础上，通过复合、改性，得到复合应用需要的功能材料，拥有合成实验室、工程塑料制备实验室以及科研产品生产线。</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现代学科发展和国民经济的需要，本专业注重对学科内容的更新调整，现已涵盖了水性涂料、耐磨材料、发泡材料等领域，具有了知识产权和一定市场竞争力的产品。专业目标是培养具有合成、表征、构效关系、工况分析及专业知识的材料类高科技人才。近五年来，本专业承担了省部级以上科研项目20多项，与国内外大中型企业和科研机构建立了紧密的合作关系并开展多项联合研究，不仅产生了大量的基础研究成果，解决了国民经济中的工程技术难题，也为人才的培养提供了一个高水平的科技平台。 现正在开发高分子3D打印技术。</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历年来培养硕士研究生十人，近期毕业论文主要有：《常温固化含氟涂料配套底涂料的研究》、《高固含量无溶剂水性聚氨酯的研究》、《自乳化细乳液聚合方法制备无溶剂型水性聚氨酯》、《长纤维/织物增强橡胶材料的性能研究》、《导电银胶的研究与制备》等。</w:t>
      </w:r>
    </w:p>
    <w:p>
      <w:pPr>
        <w:snapToGrid w:val="0"/>
        <w:spacing w:line="360" w:lineRule="auto"/>
        <w:ind w:firstLine="443" w:firstLineChars="147"/>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金属与粉体材料：</w:t>
      </w:r>
      <w:r>
        <w:rPr>
          <w:rFonts w:hint="eastAsia" w:ascii="仿宋_GB2312" w:hAnsi="仿宋_GB2312" w:eastAsia="仿宋_GB2312" w:cs="仿宋_GB2312"/>
          <w:sz w:val="30"/>
          <w:szCs w:val="30"/>
        </w:rPr>
        <w:t>上海材料研究所长期从事金属材料研究，研究领域包括</w:t>
      </w:r>
      <w:r>
        <w:rPr>
          <w:rFonts w:hint="eastAsia" w:ascii="仿宋_GB2312" w:hAnsi="仿宋_GB2312" w:eastAsia="仿宋_GB2312" w:cs="仿宋_GB2312"/>
          <w:bCs/>
          <w:sz w:val="30"/>
          <w:szCs w:val="30"/>
        </w:rPr>
        <w:t>高温材料、耐蚀材料、模具材料，开发了</w:t>
      </w:r>
      <w:r>
        <w:rPr>
          <w:rFonts w:hint="eastAsia" w:ascii="仿宋_GB2312" w:hAnsi="仿宋_GB2312" w:eastAsia="仿宋_GB2312" w:cs="仿宋_GB2312"/>
          <w:sz w:val="30"/>
          <w:szCs w:val="30"/>
        </w:rPr>
        <w:t>特种熔炼、精密铸造和强韧化热处理技术，表面防蚀保护技术，抗磨减摩处理技术，先进选材用材技术，离子氮化、复合镀和固体润滑等抗磨、减摩和防蚀处理技术，并开发高耐蚀、耐热、耐磨和模具用新材料20余种，并形成了精良的工艺装备， 如多规格真空感应炉、电渣重熔炉、成套精密铸造工艺装备、高压气体淬火真空炉、多功能离子氮化炉等。</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粉体材料研究领域包括超细晶粒高强度、高硬度硬质合金材料，超粗晶粒硬质合金材料，多元硬质合金和无磁硬质合金材料，高效、</w:t>
      </w:r>
      <w:r>
        <w:rPr>
          <w:rFonts w:hint="eastAsia" w:ascii="仿宋_GB2312" w:hAnsi="仿宋_GB2312" w:eastAsia="仿宋_GB2312" w:cs="仿宋_GB2312"/>
          <w:color w:val="000000"/>
          <w:sz w:val="30"/>
          <w:szCs w:val="30"/>
        </w:rPr>
        <w:t>多孔过滤材料，合金粉末及粘合剂，形成了</w:t>
      </w:r>
      <w:r>
        <w:rPr>
          <w:rFonts w:hint="eastAsia" w:ascii="仿宋_GB2312" w:hAnsi="仿宋_GB2312" w:eastAsia="仿宋_GB2312" w:cs="仿宋_GB2312"/>
          <w:sz w:val="30"/>
          <w:szCs w:val="30"/>
        </w:rPr>
        <w:t>先进的制品成型技术、</w:t>
      </w:r>
      <w:r>
        <w:rPr>
          <w:rStyle w:val="8"/>
          <w:rFonts w:hint="eastAsia" w:ascii="仿宋_GB2312" w:hAnsi="仿宋_GB2312" w:eastAsia="仿宋_GB2312" w:cs="仿宋_GB2312"/>
          <w:b w:val="0"/>
          <w:sz w:val="30"/>
          <w:szCs w:val="30"/>
        </w:rPr>
        <w:t>高性能硬质合金材料及制备技术</w:t>
      </w:r>
      <w:r>
        <w:rPr>
          <w:rFonts w:hint="eastAsia" w:ascii="仿宋_GB2312" w:hAnsi="仿宋_GB2312" w:eastAsia="仿宋_GB2312" w:cs="仿宋_GB2312"/>
          <w:sz w:val="30"/>
          <w:szCs w:val="30"/>
        </w:rPr>
        <w:t>、超细颗粒和纳米级硬质合金生产技术、先进挤压成型技术和气氛烧结技术、高性能合金粉末制备技术。形成的精良的工艺装备包括多规格的真空烧结炉、气氛烧结炉、加压烧结炉、等静压设备、粉末制取设备以及制品精加工设备。</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历年来培养硕士研究生二十余名，近年来毕业论文主要有：《硬质合金挤压成形剂设计及脱除技术研究》、《亚微米硬质合金制备过程中碳含量的控制研究》、《电子封装用低膨胀高导热钨铜复合材料的工艺研究》等。</w:t>
      </w:r>
    </w:p>
    <w:p>
      <w:pPr>
        <w:snapToGrid w:val="0"/>
        <w:spacing w:line="360" w:lineRule="auto"/>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先进金属材料及加工技术：</w:t>
      </w:r>
      <w:r>
        <w:rPr>
          <w:rFonts w:hint="eastAsia" w:ascii="仿宋_GB2312" w:hAnsi="仿宋_GB2312" w:eastAsia="仿宋_GB2312" w:cs="仿宋_GB2312"/>
          <w:sz w:val="30"/>
          <w:szCs w:val="30"/>
        </w:rPr>
        <w:t>该方向致力于消能减震（振）阻尼合金、高强度钢的开发以及特种粉体材料与粉末冶金技术的研究及材料摩擦性能、固体润滑等研究。研究重点聚焦于材料成分和加工工艺设计、微观组织调控、材料性能优化与服役行为评估。已成功开发出高强韧、低周疲劳性能优异的抗震防护用Fe-Mn系弹塑性阻尼钢、3D打印用特种钛合金粉末、过滤和燃烧载体用高性能多孔材料。该方向旨在培养有本科为金属材料背景的高端技术人才。</w:t>
      </w:r>
    </w:p>
    <w:p>
      <w:pPr>
        <w:snapToGrid w:val="0"/>
        <w:spacing w:line="360" w:lineRule="auto"/>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电子信息材料和器件：</w:t>
      </w:r>
      <w:r>
        <w:rPr>
          <w:rFonts w:hint="eastAsia" w:ascii="仿宋_GB2312" w:hAnsi="仿宋_GB2312" w:eastAsia="仿宋_GB2312" w:cs="仿宋_GB2312"/>
          <w:sz w:val="30"/>
          <w:szCs w:val="30"/>
        </w:rPr>
        <w:t>该方向的研究领域包括基于光电转换原理以及压电效应的各类新能源材料体系的制备、光电和压电相关新原理和新技术的探索、新型光电与压电器件的开发与设计、无铅及多层压电器件的制备及新产品研发、先进功能陶瓷加工技术等。该方向旨在培养功能材料领域的应用型人才。</w:t>
      </w:r>
    </w:p>
    <w:p>
      <w:pPr>
        <w:snapToGrid w:val="0"/>
        <w:spacing w:line="360" w:lineRule="auto"/>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增材制造材料的研究与制备：</w:t>
      </w:r>
      <w:r>
        <w:rPr>
          <w:rFonts w:hint="eastAsia" w:ascii="仿宋_GB2312" w:hAnsi="仿宋_GB2312" w:eastAsia="仿宋_GB2312" w:cs="仿宋_GB2312"/>
          <w:sz w:val="30"/>
          <w:szCs w:val="30"/>
        </w:rPr>
        <w:t>该方向聚焦3D打印技术应用的高分子3D打印材料、金属3D打印材料的研究与开发，关注工程塑料、特种工程塑料以及金属粉末在材料制备以及打印成型过程中对打印制件的影响规律，以及制件的后处理等。实验室已具备工程塑料改性的设备以及高分子常规理化检验的检测设备，配备了高分子材料应用的3D打印机等，具备了喷雾设备制造用以3D打印的金属粉末。该方向旨在培养3D打印材料开发与研究的高端人才。历年来培养硕士研究生2人，发表毕业论文：《选区激光熔化成形用Inconel625合金粉末及制品的性能研究》、《增材制造用18Ni300粉末的紧耦合气雾化制备技术研究》</w:t>
      </w:r>
    </w:p>
    <w:p>
      <w:pPr>
        <w:snapToGrid w:val="0"/>
        <w:spacing w:line="360" w:lineRule="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二级学科“测试计量技术及仪器”（080402）</w:t>
      </w:r>
    </w:p>
    <w:p>
      <w:pPr>
        <w:snapToGrid w:val="0"/>
        <w:spacing w:line="360" w:lineRule="auto"/>
        <w:ind w:firstLine="600" w:firstLineChars="200"/>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该专业以材料的理化测试为起点，从1981年开始招硕士研究生，着重培养研究生具有较高的独立解决工程材料及其在加工使用过程中质量评定技术问题的能力。1999年以来获国家科技进步奖2项，省级进步奖2项，至今已培养研究生二十余名，目前在校生为1人。</w:t>
      </w:r>
    </w:p>
    <w:p>
      <w:pPr>
        <w:snapToGrid w:val="0"/>
        <w:spacing w:line="360" w:lineRule="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主要专业方向如下：</w:t>
      </w:r>
    </w:p>
    <w:p>
      <w:pPr>
        <w:snapToGrid w:val="0"/>
        <w:spacing w:line="360" w:lineRule="auto"/>
        <w:ind w:firstLine="602" w:firstLineChars="200"/>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无损检测技术和设备：</w:t>
      </w:r>
      <w:r>
        <w:rPr>
          <w:rFonts w:hint="eastAsia" w:ascii="仿宋_GB2312" w:hAnsi="仿宋_GB2312" w:eastAsia="仿宋_GB2312" w:cs="仿宋_GB2312"/>
          <w:sz w:val="30"/>
          <w:szCs w:val="30"/>
        </w:rPr>
        <w:t>此研究方向紧紧围绕着包括原材料及其加工全过程中的材料质量和无损检测系统的基础研究，发展无损检测技术以促进复合材料在工业中扩大应用。已形成了超声（UT），射线（RT），磁粉（MT），渗透（PT）、涡流（ET）、漏磁（FLT）多项检测技术。</w:t>
      </w:r>
      <w:r>
        <w:rPr>
          <w:rFonts w:hint="eastAsia" w:ascii="仿宋_GB2312" w:hAnsi="仿宋_GB2312" w:eastAsia="仿宋_GB2312" w:cs="仿宋_GB2312"/>
          <w:color w:val="000000"/>
          <w:kern w:val="0"/>
          <w:sz w:val="30"/>
          <w:szCs w:val="30"/>
        </w:rPr>
        <w:t>2014、2015年重大工程有：</w:t>
      </w:r>
      <w:r>
        <w:rPr>
          <w:rFonts w:hint="eastAsia" w:ascii="仿宋_GB2312" w:hAnsi="仿宋_GB2312" w:eastAsia="仿宋_GB2312" w:cs="仿宋_GB2312"/>
          <w:color w:val="000000"/>
          <w:spacing w:val="-12"/>
          <w:kern w:val="0"/>
          <w:sz w:val="30"/>
          <w:szCs w:val="30"/>
        </w:rPr>
        <w:t>苏州国际财富广场的钢结构检测，</w:t>
      </w:r>
      <w:r>
        <w:rPr>
          <w:rFonts w:hint="eastAsia" w:ascii="仿宋_GB2312" w:hAnsi="仿宋_GB2312" w:eastAsia="仿宋_GB2312" w:cs="仿宋_GB2312"/>
          <w:color w:val="000000"/>
          <w:kern w:val="0"/>
          <w:sz w:val="30"/>
          <w:szCs w:val="30"/>
        </w:rPr>
        <w:t>呼和浩特市快速路交通工程施工一标段龙门架项目，上海北外滩白玉兰广场整体钢结构工程，静安区大中里46号40号地块综合发展项目，上海梅陇南方商务区一期、二期、三期地上项目，悉尼国际会展中心，杭州湾跨海大桥年检等。2014年完成上海市技术标准专项《功能陶瓷零部件表面光折射渗透检测方法》，2015年完成上海市应用技术开发项目《大客发动机复杂薄壁机匣铸件X射线检测》和上海市研发平台专项《上海市无损检测专业技术服务平台建设》。2014年至今，主持完成5项国家标准（已发布4项）和5项行业标准（已发布2项），参与完成13项国家标准和7项行业标准，新立项主持1项国家标准和4项行业标准，参与4项国家标准和8项行业标准。</w:t>
      </w:r>
    </w:p>
    <w:p>
      <w:pPr>
        <w:snapToGrid w:val="0"/>
        <w:spacing w:line="360" w:lineRule="auto"/>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rPr>
        <w:t>历年来培养硕士研究生十余名，近年来毕业论文主要有：《螺栓头杆结合部缺陷涡流检测阵列式探头研究》、《螺栓头杆结合部缺陷涡流检测阵列式探头研究》、《</w:t>
      </w:r>
      <w:r>
        <w:rPr>
          <w:rFonts w:hint="eastAsia" w:ascii="仿宋_GB2312" w:hAnsi="仿宋_GB2312" w:eastAsia="仿宋_GB2312" w:cs="仿宋_GB2312"/>
          <w:sz w:val="30"/>
          <w:szCs w:val="30"/>
        </w:rPr>
        <w:t>钢管漏磁检测探头及其装置研究》、《电磁超声换能器的设计与实验研究》、《超声检测声场模拟》等。</w:t>
      </w:r>
    </w:p>
    <w:p>
      <w:pPr>
        <w:snapToGrid w:val="0"/>
        <w:spacing w:line="360" w:lineRule="auto"/>
        <w:ind w:firstLine="602" w:firstLineChars="200"/>
        <w:rPr>
          <w:rFonts w:hint="eastAsia" w:ascii="仿宋_GB2312" w:hAnsi="仿宋_GB2312" w:eastAsia="仿宋_GB2312" w:cs="仿宋_GB2312"/>
          <w:sz w:val="30"/>
          <w:szCs w:val="30"/>
        </w:rPr>
      </w:pPr>
      <w:r>
        <w:rPr>
          <w:rFonts w:hint="eastAsia" w:ascii="仿宋_GB2312" w:hAnsi="仿宋_GB2312" w:eastAsia="仿宋_GB2312" w:cs="仿宋_GB2312"/>
          <w:b/>
          <w:sz w:val="30"/>
          <w:szCs w:val="30"/>
        </w:rPr>
        <w:t>消能减震技术：</w:t>
      </w:r>
      <w:r>
        <w:rPr>
          <w:rFonts w:hint="eastAsia" w:ascii="仿宋_GB2312" w:hAnsi="仿宋_GB2312" w:eastAsia="仿宋_GB2312" w:cs="仿宋_GB2312"/>
          <w:sz w:val="30"/>
          <w:szCs w:val="30"/>
        </w:rPr>
        <w:t>近年来，研发了弹性滑板支座、高烈度区大吨位粘滞阻尼器以及防屈曲支撑等新产品，形成了一支技术领先、结构合理的消能减震技术研发队伍，建立了多例消能减震示范工程，推动了该项技术在建筑、桥梁上的广泛应用，并逐渐成为在减振抗震领域具有显著影响力的技术平台和产业基地。近期在研究超高层摆式电涡流调谐质量阻尼器研发以及先进消能减震阻尼技术在核电工程中的应用与推广。</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历年来培养联合培养研究生1人，毕业论文为《阻尼衬套的试验方法与性能评价研究》。</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rPr>
        <w:t>三、研究生招生及规模情况</w:t>
      </w:r>
    </w:p>
    <w:p>
      <w:pPr>
        <w:snapToGrid w:val="0"/>
        <w:spacing w:line="360" w:lineRule="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1. 研究生招生及生源情况</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2018-2019学年度报考我所人数：第一志愿报考人数7人，招生计划数5人，录取第一志愿人数1人，调剂录取人数4人，实际报到人数5人，其中招收1名双一流/985高校毕业生、1名211高校毕业生，复试分数线：过国家分数线。报考一志愿人数大幅增加，生源质量较高，体现出我所在研究生培养质量方面有着极佳的声誉，能够吸引到优质生源报考我所。同时招收上海第二工业大学联合培养研究生10人。</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研究生规模及结构</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2018-2019学年度在校硕士研究生共46人，其中本所硕士研究生15人，与上海理工大学联合培养专业硕士研究生12人，在上海第二工业大学联合培养19人。</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lang w:val="en-US" w:eastAsia="zh-CN"/>
        </w:rPr>
        <w:t>四、</w:t>
      </w:r>
      <w:r>
        <w:rPr>
          <w:rFonts w:hint="eastAsia" w:ascii="黑体" w:hAnsi="黑体" w:eastAsia="黑体" w:cs="黑体"/>
          <w:b w:val="0"/>
          <w:bCs/>
          <w:sz w:val="28"/>
          <w:szCs w:val="28"/>
        </w:rPr>
        <w:t>研究生培养过程</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1.研究生教育教学资源与条件</w:t>
      </w:r>
    </w:p>
    <w:p>
      <w:pPr>
        <w:snapToGrid w:val="0"/>
        <w:spacing w:line="360" w:lineRule="auto"/>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我所拥有国家级检测中心（实验室）1个：国家金属材料质量监督检验中心；工信部实验室（公共服务平台）2个：工信部工业产品质量控制和技术评价实验室（机械基础材料），首批工业和信息化部产业技术基础公共服务平台；行业级检测机构2个：机械工业材料质量检测中心，机械工业无损检测中心；市级工程中心和重点实验室（质监站）6个：上海失效分析及安全评估中心，上海市金属材料质量监督检验站，上海市建设工程质量检测机构，上海市工程材料应用与评价重点实验室，上海市消能减震工程技术研究中心，上海市3D打印材料工程技术研究中心；市级公共平台（4个）：上海市航空材料检测与评价专业技术服务平台，上海市金属材料检测分析与安全评估专业技术服务平台，上海市无损检测专业技术服务平台，上海市增材制造材料与检测工程研究中心。机械工业联合会工程研究中心（1个）：机械工业增材制造材料工程研究中心。目前在研项目80项，科研投入逾2000万。除本所的两个硕士点外，研究生联合培养平台有：上海科学院研究生培养基地和机械工业上海研究生院、上海理工大学联合培养基地和上海第二工业大学。</w:t>
      </w:r>
    </w:p>
    <w:p>
      <w:pPr>
        <w:numPr>
          <w:ilvl w:val="0"/>
          <w:numId w:val="1"/>
        </w:numPr>
        <w:snapToGrid w:val="0"/>
        <w:spacing w:line="360" w:lineRule="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研究生教育经费投入情况</w:t>
      </w:r>
    </w:p>
    <w:p>
      <w:pPr>
        <w:snapToGrid w:val="0"/>
        <w:spacing w:line="360" w:lineRule="auto"/>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我所为本所及联合培养研究生提供助研金，有</w:t>
      </w:r>
      <w:r>
        <w:rPr>
          <w:rFonts w:hint="eastAsia" w:ascii="仿宋_GB2312" w:hAnsi="仿宋_GB2312" w:eastAsia="仿宋_GB2312" w:cs="仿宋_GB2312"/>
          <w:bCs/>
          <w:sz w:val="30"/>
          <w:szCs w:val="30"/>
        </w:rPr>
        <w:t>效地保证了每位研究生的学习与生活的经济来源。随着联合培养研究生规模的逐步扩大，我所在研究生工作中投入的经费也逐年增加。</w:t>
      </w:r>
      <w:r>
        <w:rPr>
          <w:rFonts w:hint="eastAsia" w:ascii="仿宋_GB2312" w:hAnsi="仿宋_GB2312" w:eastAsia="仿宋_GB2312" w:cs="仿宋_GB2312"/>
          <w:sz w:val="30"/>
          <w:szCs w:val="30"/>
        </w:rPr>
        <w:t>2019用于研究生日常生活的助研金支出总额在51万元左右，另设有奖学金，表彰和鼓励当年度学习表现优秀的同学们，</w:t>
      </w:r>
      <w:r>
        <w:rPr>
          <w:rFonts w:hint="eastAsia" w:ascii="仿宋_GB2312" w:hAnsi="仿宋_GB2312" w:eastAsia="仿宋_GB2312" w:cs="仿宋_GB2312"/>
          <w:color w:val="000000"/>
          <w:sz w:val="30"/>
          <w:szCs w:val="30"/>
        </w:rPr>
        <w:t>同时，研究生在读期间将提供</w:t>
      </w:r>
      <w:r>
        <w:rPr>
          <w:rFonts w:hint="eastAsia" w:ascii="仿宋_GB2312" w:hAnsi="仿宋_GB2312" w:eastAsia="仿宋_GB2312" w:cs="仿宋_GB2312"/>
          <w:sz w:val="30"/>
          <w:szCs w:val="30"/>
        </w:rPr>
        <w:t>书报费</w:t>
      </w:r>
      <w:r>
        <w:rPr>
          <w:rFonts w:hint="eastAsia" w:ascii="仿宋_GB2312" w:hAnsi="仿宋_GB2312" w:eastAsia="仿宋_GB2312" w:cs="仿宋_GB2312"/>
          <w:color w:val="000000"/>
          <w:sz w:val="30"/>
          <w:szCs w:val="30"/>
        </w:rPr>
        <w:t>、意外伤害保险等福利，</w:t>
      </w:r>
      <w:r>
        <w:rPr>
          <w:rFonts w:hint="eastAsia" w:ascii="仿宋_GB2312" w:hAnsi="仿宋_GB2312" w:eastAsia="仿宋_GB2312" w:cs="仿宋_GB2312"/>
          <w:sz w:val="30"/>
          <w:szCs w:val="30"/>
        </w:rPr>
        <w:t>总体费用达到了61万</w:t>
      </w:r>
      <w:r>
        <w:rPr>
          <w:rFonts w:hint="eastAsia" w:ascii="仿宋_GB2312" w:hAnsi="仿宋_GB2312" w:eastAsia="仿宋_GB2312" w:cs="仿宋_GB2312"/>
          <w:color w:val="000000"/>
          <w:sz w:val="30"/>
          <w:szCs w:val="30"/>
        </w:rPr>
        <w:t>。如研究生在所期间积极参加所科研项目的，部门或导师还将为其申请额外津贴以鼓励学生积极动手参与一线的科研工作，提高自身的科研水平。</w:t>
      </w:r>
    </w:p>
    <w:p>
      <w:pPr>
        <w:numPr>
          <w:ilvl w:val="0"/>
          <w:numId w:val="1"/>
        </w:numPr>
        <w:snapToGrid w:val="0"/>
        <w:spacing w:line="360" w:lineRule="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研究生</w:t>
      </w:r>
      <w:r>
        <w:rPr>
          <w:rFonts w:hint="eastAsia" w:ascii="仿宋_GB2312" w:hAnsi="仿宋_GB2312" w:eastAsia="仿宋_GB2312" w:cs="仿宋_GB2312"/>
          <w:color w:val="000000"/>
          <w:sz w:val="30"/>
          <w:szCs w:val="30"/>
        </w:rPr>
        <w:t>课程建设情况</w:t>
      </w:r>
    </w:p>
    <w:p>
      <w:pPr>
        <w:snapToGrid w:val="0"/>
        <w:spacing w:line="360" w:lineRule="auto"/>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上海材料研究所的研究生基础课程安排在复旦大学进行学习，每个学生必选30学分。另外要求所有本所研究生必须参加科学道德和学风建设教育并提交报告，计入学生学分。目前已做到科学道德和学风建设教育全覆盖。</w:t>
      </w:r>
    </w:p>
    <w:p>
      <w:pPr>
        <w:snapToGrid w:val="0"/>
        <w:spacing w:line="360" w:lineRule="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4.</w:t>
      </w:r>
      <w:r>
        <w:rPr>
          <w:rFonts w:hint="eastAsia" w:ascii="仿宋_GB2312" w:hAnsi="仿宋_GB2312" w:eastAsia="仿宋_GB2312" w:cs="仿宋_GB2312"/>
          <w:color w:val="000000"/>
          <w:sz w:val="30"/>
          <w:szCs w:val="30"/>
        </w:rPr>
        <w:t>研究生教育创新计划实施及成效</w:t>
      </w:r>
    </w:p>
    <w:p>
      <w:pPr>
        <w:snapToGrid w:val="0"/>
        <w:spacing w:line="360" w:lineRule="auto"/>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研究所层面的学术活动：</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导师论坛</w:t>
      </w:r>
    </w:p>
    <w:p>
      <w:pPr>
        <w:adjustRightInd w:val="0"/>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导师论坛是由全所研究生导师为主体的研究生第二课堂，由各个奋斗在科研第一线的专家授课，内容包括材料的力学性能、物理及化学性能测试、材料的失效分析，到核电材料的环境敏感断裂等等，涵盖了全所各个研究领域，而且不仅理论知识面广，还包含了许多案例，为研究生提供了许多交叉知识，为开发他们的创新思维提供了丰富的营养。</w:t>
      </w:r>
    </w:p>
    <w:p>
      <w:pPr>
        <w:adjustRightInd w:val="0"/>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近三年以来，我所吸引了众多材料领域的优秀人才，为了更好地利用这一优势，我们突破了“导师”这一身份的限制，邀请更多在一线的科研人员参与到论坛中去，和学生进行面对面的交流，进一步强化了我所理论与实践相结合的教学特色。研究生们在这一过程中不仅能够接触到最前沿的科技发展和工程实践，还能够向学习到沟通、展示的技巧，更能够在交流中进行思维的碰撞，启发学生们的深度思考。</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研究生月报告会</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参加月报告会并认真准备报告即是自我学习，自我完善，自我提升的过程。在每准备一个演讲题目的时候，他们常常能深入思考自己的演讲题目和内容，从认真查阅书籍资料、整理观点到制作幻灯片准备发言，对问题自然有了更深刻的认识并且激发了学术兴趣，为开发他们的创新潜能提供了良好的机会。月报告会有利于强化研究生的主体意识，激发科研兴趣和创造潜能，充分发挥自主性、能动性和创造性并有利于大胆独立思考。</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创新思维是创造性的核心成分，是发散性思维与聚合思维的统一，月报告会的学术交流形式能通过交流与讨论，借鉴别人的知识，拓宽自己的思想，触类旁通，形成自己的发散思维。在交流讨论过程中，研究生们可以各抒己见，深入讨论，互相启发，通过彼此的学术交流互动，碰撞思想火花，激发创新思维。</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通过长期的实践证明月报告会能提高研究生的学术涵养，培养自主、自发、自然的心理品格，形成脚踏实地、勇于创新的人格品质。</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除了研究所层面的学术活动以外，研究生在读期间也常常跟随导师参加各类学术会议、科技交流、工程现场等，体现了我所理论与实践并重、培养与科研实际紧密结合的特点。同时，也为学生在将来切实地进入科研一线提供了宝贵的经验。</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5.导师队伍规模及结构情况</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2019年我所研究生导师18人，其中45岁以下3人，45-54岁8人，55岁以上7人，所有的导师都拥有高级职称；另有协导8人，联合培养企业导师34人（含上理工及二工大联合培养研究生导师）。从导师队伍的数量来看，指导本所研究生导师数量较为稳定，而随着我所联合培养规模的不断扩大，联合培养研究生导师的数量急速增加，通过联合培养，我所科研人员能够获得更多指导研究生工作的机会，在联合培养的过程中与各个学校不断进行交流，不仅有效提高了科研人员的教学能力，也促进他们的科研能力，进一步激发个人的科研潜力，更能发挥校企联合的优势，推动本所的科研发展。从结构上来看，我所近年来的导师队伍逐渐年轻化，结构逐渐优化。一方面，近年来我所总体实力不断上升，吸引了更多中青年优秀科技人员。这些科技人员不仅对科研工作抱有极高的热情，同时也对研究生培养工作有着极大的需求。他们之中，具备成为研究生导师资格的不在少数，甚至部分引进人才自身即具有硕士研究生导师的经历，在被引进后只需重新申请导师资格即可立刻开展研究生培养工作。另一方面，本所的青年科研人员在长期的一线工作后，也逐渐积累实力，承担起了更多科研项目的重任，他们的成长也使他们具备了成为一名研究生导师的基本条件。</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6.研究生党建、思想政治教育基本情况</w:t>
      </w:r>
    </w:p>
    <w:p>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研究生青年在入学后即纳入我所党委及团委管理，积极参与各项活动，体现出青年积极向上的精神面貌和团结有爱的精神风貌。</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所认真贯彻全国科学道德和学风建设宣讲教育工作会议的精神，对我所硕士研究生教育做到了全覆盖，并取得了较大效果。我所坚持毕业生参加论文盲审，常年保持无异议率，论文答辩前专家盲审通过率100%，并对毕业论文进行了查重率的检查，所有论文的查重率均低于10%。</w:t>
      </w:r>
    </w:p>
    <w:p>
      <w:pPr>
        <w:numPr>
          <w:ilvl w:val="0"/>
          <w:numId w:val="2"/>
        </w:num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研究生培养特色及改革案例</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上海材料研究所作为转制科研院所，为研究生提供了接触一线科研实践的难得的机遇，研究生培养也有助于增强研究所的学术氛围，促进科技竞争力的提高，这种置身于科研与市场交融前沿的条件可谓得天独厚。长期以来，小批量、精致化的研究生培养规模，个性化与高质量的培养体系和服务于科研生产，解决实际工程问题的培养目标，强调理论与实践密切结合，已经成为我所研究生培养的一大特色，我所在研究生毕业后从事科学研究相关的岗位比例极高，而雇主普遍反映出的我所研究生的满意度和评价极高，非常认可我所研究生的培养质量，为社会输送了高素质的科研创新人才。</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不同研究方向上的相互协作与补充也是我所作为转制院所的另一大特色和亮点。论文质量、专利专著等都能反映出研究生的培养实力，这也是衡量研究生学术水平和创新能力的重要标志，是对研究生从事科学研究能力的检验。转制研究所的研究生规模小，但研究所里却分布着大大小小的科研团队，以有专业方向关联的科研团队即可称为科研共同体，科研共同体的培育机制就是在同一科研共同体内工作和生活的教师和学生，处在良好的学术氛围的熏陶下，个人的学习得到身边众多教师和同学思想火花的启发，引导和批判，从而得到快速的成长。在我所的科研共同体中有导师、协导、在职或已退休的专家组成，对于研究生的研究指导就在这样的科研共同体中实现。研究生的过程化管理包括课程学习、开题报告、中期检查、预答辩、盲审、正式答辩和优秀论文评选等，充分利用好所内的科研共同体的资源对研究生的培养工作起到了非常积极而显著的推动作用。例如，我所的核电材料应力腐蚀破裂是研究生招生最多的一个方向，但导师却最少，而通过将该专业团队和我所人数较多实力较强的失效分析专业团队联合成一个科研共同体，使得这两个专业的研究生的培养工作以及科研工作都获得了巨大活力。</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ab/>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近年来，与高校间的联合培养也逐渐成为我所研究生培养的一种常态化模式。2018年初，我所与上海第二工业大学签订了全面战略合作协议，计划每年招收10名联合培养研究生。至此，我所已与本市三所高校达成了联合培养协议，分别是上海理工大学、上海工程技术大学及上海第二工业大学，联合培养已经成为本所研究生培养的重要组成部分。</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rPr>
        <w:t>五、 学位授予情况</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学位授予情况</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2019年学术学位授予人数：5人（学位授予挂靠在“机械科学研究总院”），联合培养专业硕士学位授予数：7人，均为与上海理工大学联合培养。</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2019毕业研究生12人，获得学位人数：12人，毕业生学习年数分别为3年（本所）和2.5年（联合培养）。不存在肄业、退学、撤回学历学位证书等情况。</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2.研究生毕业及就业状况</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毕业研究生升学就业率：100%，2019年我所毕业研究生5人，联合培养毕业生7人，其中2人升学攻读博士学位（学校：复旦大学、西安交通大学），其余10人进入其他企业就职。我所培养的研究生基于在读期间丰富的项目实践经验，毕业后均能较主动地、较快地进入科研工作，在短期内均能取得较显著的成绩。就职后，雇主满意度高，口碑好。</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rPr>
        <w:t>六、 研究生质量保障体系建设及成效</w:t>
      </w:r>
    </w:p>
    <w:p>
      <w:pPr>
        <w:adjustRightInd w:val="0"/>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研究生教育质量保障制度建设及成效</w:t>
      </w:r>
    </w:p>
    <w:p>
      <w:pPr>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所非常重视研究生教育保障制度的建设，原《上海材料研究所研究生管理制度》已实施多年，在今年教育部第41号令颁布后，我所及时针对现有的制度进行了梳理，并严格遵照文件精神，结合所内实际的工作状况，按时完成了管理制度的修订，做到日常管理工作全面覆盖，教育教学活动有据可依。在梳理制度时也发现了许多制度上的不足，因此，在今年，我所针对性地开展了制度修订工作，不断调整和完善现有制度，提升管理水平。目前，所内的研究生培养各项工作能够有序、平稳地开展。</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2.研究生教育管理与服务举措</w:t>
      </w:r>
    </w:p>
    <w:p>
      <w:pPr>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研究所设立专职研究生教育管理人员2人，专门负责研究生的教学管理和研究生教育的研究，2007年以来公开共发表研究生教育论文9篇。</w:t>
      </w:r>
    </w:p>
    <w:p>
      <w:pPr>
        <w:snapToGrid w:val="0"/>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bCs/>
          <w:sz w:val="30"/>
          <w:szCs w:val="30"/>
        </w:rPr>
        <w:t>学位论文盲审及抽检情况</w:t>
      </w:r>
    </w:p>
    <w:p>
      <w:pPr>
        <w:snapToGrid w:val="0"/>
        <w:spacing w:line="360" w:lineRule="auto"/>
        <w:ind w:firstLine="42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我所坚持毕业生参加论文盲审，常年保持无异议率，2019年参加了论文答辩前专家盲审（机械科学研究院体系内），通过率100%，并对毕业论文进行了查重率的检查，查重结果：所有论文的查重率均低于10%。</w:t>
      </w:r>
    </w:p>
    <w:p>
      <w:pPr>
        <w:snapToGrid w:val="0"/>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4.研究生资助体系的建设情况</w:t>
      </w:r>
    </w:p>
    <w:p>
      <w:pPr>
        <w:snapToGrid w:val="0"/>
        <w:spacing w:line="360" w:lineRule="auto"/>
        <w:ind w:firstLine="42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我所对于入学后的每位学生给予一定的生活补贴，并且年终予以一定的科研助手费，有效地保证了每位研究生的学习与生活的经济来源。</w:t>
      </w:r>
    </w:p>
    <w:p>
      <w:pPr>
        <w:snapToGrid w:val="0"/>
        <w:spacing w:line="360" w:lineRule="auto"/>
        <w:ind w:firstLine="420"/>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我所为全体研究生进行意外保险的投保，同时为本所研究生进行商业医疗投保，更加完善了研究生生活及工作的保障。</w:t>
      </w:r>
    </w:p>
    <w:p>
      <w:pPr>
        <w:snapToGrid w:val="0"/>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5.学位与研究生教育信息化建设情况</w:t>
      </w:r>
    </w:p>
    <w:p>
      <w:pPr>
        <w:snapToGrid w:val="0"/>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 xml:space="preserve">    我所已保证研究生上网条件，无论他们在办公室、实验室、宿舍，实现网络全覆盖。</w:t>
      </w:r>
    </w:p>
    <w:p>
      <w:pPr>
        <w:snapToGrid w:val="0"/>
        <w:spacing w:line="360" w:lineRule="auto"/>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6.研究生论文发表及科研获奖情况</w:t>
      </w:r>
    </w:p>
    <w:p>
      <w:pPr>
        <w:adjustRightInd w:val="0"/>
        <w:snapToGrid w:val="0"/>
        <w:spacing w:line="360" w:lineRule="auto"/>
        <w:ind w:firstLine="420"/>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2018年9月起研究生为第一作者或除导师外第一作者发表的文章为10篇，其中有6篇发表在了中文核心期刊上，近年来研究生发表在核心期刊的文章比例逐步提高；2018年9月至2019年8月期间授权的专利中研究生参与的专利数量为2项。</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rPr>
        <w:t>七、 研究生教育国际化情况</w:t>
      </w:r>
    </w:p>
    <w:p>
      <w:pPr>
        <w:adjustRightInd w:val="0"/>
        <w:snapToGrid w:val="0"/>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暂无与国外大学和研究机构设立交换生或招收留学生。</w:t>
      </w:r>
    </w:p>
    <w:p>
      <w:pPr>
        <w:snapToGrid w:val="0"/>
        <w:spacing w:line="360" w:lineRule="auto"/>
        <w:rPr>
          <w:rFonts w:hint="eastAsia" w:ascii="黑体" w:hAnsi="黑体" w:eastAsia="黑体" w:cs="黑体"/>
          <w:b w:val="0"/>
          <w:bCs/>
          <w:sz w:val="28"/>
          <w:szCs w:val="28"/>
        </w:rPr>
      </w:pPr>
      <w:r>
        <w:rPr>
          <w:rFonts w:hint="eastAsia" w:ascii="黑体" w:hAnsi="黑体" w:eastAsia="黑体" w:cs="黑体"/>
          <w:b w:val="0"/>
          <w:bCs/>
          <w:sz w:val="28"/>
          <w:szCs w:val="28"/>
        </w:rPr>
        <w:t>八、 研究生教育进一步改革与发展的思路</w:t>
      </w:r>
    </w:p>
    <w:p>
      <w:pPr>
        <w:adjustRightInd w:val="0"/>
        <w:snapToGrid w:val="0"/>
        <w:spacing w:line="360" w:lineRule="auto"/>
        <w:ind w:firstLine="43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1.加强联合培养研究生的管理，完善校企培养的联动机制，整合校企培养的优势，推动研究生的培养和发展；</w:t>
      </w:r>
    </w:p>
    <w:p>
      <w:pPr>
        <w:adjustRightInd w:val="0"/>
        <w:snapToGrid w:val="0"/>
        <w:spacing w:line="360" w:lineRule="auto"/>
        <w:ind w:firstLine="435"/>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2.进一步发挥好研究生团队深入参与我所的科研活动，使研究生在我所科研工作中发挥更大的作用。</w:t>
      </w:r>
    </w:p>
    <w:p>
      <w:pPr>
        <w:adjustRightInd w:val="0"/>
        <w:snapToGrid w:val="0"/>
        <w:spacing w:line="360" w:lineRule="auto"/>
        <w:ind w:firstLine="435"/>
        <w:rPr>
          <w:rFonts w:hint="eastAsia" w:ascii="仿宋_GB2312" w:hAnsi="仿宋_GB2312" w:eastAsia="仿宋_GB2312" w:cs="仿宋_GB2312"/>
          <w:sz w:val="30"/>
          <w:szCs w:val="30"/>
        </w:rPr>
      </w:pPr>
    </w:p>
    <w:p>
      <w:pPr>
        <w:snapToGrid w:val="0"/>
        <w:spacing w:line="360" w:lineRule="auto"/>
        <w:ind w:firstLine="5700" w:firstLineChars="1900"/>
        <w:rPr>
          <w:rFonts w:hint="eastAsia" w:ascii="仿宋_GB2312" w:hAnsi="仿宋_GB2312" w:eastAsia="仿宋_GB2312" w:cs="仿宋_GB2312"/>
          <w:sz w:val="30"/>
          <w:szCs w:val="30"/>
        </w:rPr>
      </w:pPr>
    </w:p>
    <w:p>
      <w:pPr>
        <w:snapToGrid w:val="0"/>
        <w:spacing w:line="360" w:lineRule="auto"/>
        <w:ind w:firstLine="5700" w:firstLineChars="1900"/>
        <w:rPr>
          <w:rFonts w:hint="eastAsia" w:ascii="仿宋_GB2312" w:hAnsi="仿宋_GB2312" w:eastAsia="仿宋_GB2312" w:cs="仿宋_GB2312"/>
          <w:sz w:val="30"/>
          <w:szCs w:val="30"/>
        </w:rPr>
      </w:pPr>
    </w:p>
    <w:p>
      <w:pPr>
        <w:snapToGrid w:val="0"/>
        <w:spacing w:line="360" w:lineRule="auto"/>
        <w:ind w:firstLine="5700" w:firstLineChars="1900"/>
        <w:rPr>
          <w:rFonts w:hint="eastAsia" w:ascii="仿宋_GB2312" w:hAnsi="仿宋_GB2312" w:eastAsia="仿宋_GB2312" w:cs="仿宋_GB2312"/>
          <w:sz w:val="30"/>
          <w:szCs w:val="30"/>
        </w:rPr>
      </w:pPr>
    </w:p>
    <w:p>
      <w:pPr>
        <w:snapToGrid w:val="0"/>
        <w:spacing w:line="360" w:lineRule="auto"/>
        <w:ind w:firstLine="5700" w:firstLineChars="19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上海材料研究所</w:t>
      </w:r>
    </w:p>
    <w:p>
      <w:pPr>
        <w:snapToGrid w:val="0"/>
        <w:spacing w:line="360" w:lineRule="auto"/>
        <w:ind w:left="5700" w:hanging="5700" w:hangingChars="19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2019年10月31日</w:t>
      </w:r>
    </w:p>
    <w:p>
      <w:pPr>
        <w:snapToGrid w:val="0"/>
        <w:spacing w:line="360" w:lineRule="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pPr>
        <w:snapToGrid w:val="0"/>
        <w:spacing w:line="360" w:lineRule="auto"/>
        <w:rPr>
          <w:rFonts w:hint="eastAsia" w:ascii="仿宋_GB2312" w:hAnsi="仿宋_GB2312" w:eastAsia="仿宋_GB2312" w:cs="仿宋_GB2312"/>
          <w:sz w:val="30"/>
          <w:szCs w:val="30"/>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9"/>
      </w:rPr>
    </w:pPr>
    <w:r>
      <w:fldChar w:fldCharType="begin"/>
    </w:r>
    <w:r>
      <w:rPr>
        <w:rStyle w:val="9"/>
      </w:rPr>
      <w:instrText xml:space="preserve">PAGE  </w:instrText>
    </w:r>
    <w:r>
      <w:fldChar w:fldCharType="separate"/>
    </w:r>
    <w:r>
      <w:rPr>
        <w:rStyle w:val="9"/>
      </w:rPr>
      <w:t>5</w:t>
    </w:r>
    <w:r>
      <w:fldChar w:fldCharType="end"/>
    </w:r>
  </w:p>
  <w:p>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9"/>
      </w:rPr>
    </w:pPr>
    <w:r>
      <w:fldChar w:fldCharType="begin"/>
    </w:r>
    <w:r>
      <w:rPr>
        <w:rStyle w:val="9"/>
      </w:rPr>
      <w:instrText xml:space="preserve">PAGE  </w:instrText>
    </w:r>
    <w:r>
      <w:fldChar w:fldCharType="end"/>
    </w:r>
  </w:p>
  <w:p>
    <w:pPr>
      <w:pStyle w:val="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C1D53"/>
    <w:multiLevelType w:val="multilevel"/>
    <w:tmpl w:val="141C1D53"/>
    <w:lvl w:ilvl="0" w:tentative="0">
      <w:start w:val="7"/>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FC17078"/>
    <w:multiLevelType w:val="multilevel"/>
    <w:tmpl w:val="4FC1707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BFD"/>
    <w:rsid w:val="000018C7"/>
    <w:rsid w:val="00025694"/>
    <w:rsid w:val="00036BF5"/>
    <w:rsid w:val="000411E5"/>
    <w:rsid w:val="000420EF"/>
    <w:rsid w:val="00043DD0"/>
    <w:rsid w:val="000536E2"/>
    <w:rsid w:val="00056A0D"/>
    <w:rsid w:val="00065C1C"/>
    <w:rsid w:val="00065CCC"/>
    <w:rsid w:val="00067214"/>
    <w:rsid w:val="00080CEB"/>
    <w:rsid w:val="00091353"/>
    <w:rsid w:val="00094703"/>
    <w:rsid w:val="000A2D30"/>
    <w:rsid w:val="000A50CE"/>
    <w:rsid w:val="000B659F"/>
    <w:rsid w:val="000C53B0"/>
    <w:rsid w:val="000D4CED"/>
    <w:rsid w:val="000E44A0"/>
    <w:rsid w:val="000E559B"/>
    <w:rsid w:val="000E694D"/>
    <w:rsid w:val="000E7D6E"/>
    <w:rsid w:val="00102268"/>
    <w:rsid w:val="001045AB"/>
    <w:rsid w:val="00114AA5"/>
    <w:rsid w:val="001208D0"/>
    <w:rsid w:val="0012159E"/>
    <w:rsid w:val="001215DC"/>
    <w:rsid w:val="001254BA"/>
    <w:rsid w:val="00130706"/>
    <w:rsid w:val="00134591"/>
    <w:rsid w:val="00136057"/>
    <w:rsid w:val="00136978"/>
    <w:rsid w:val="00144EF6"/>
    <w:rsid w:val="001460A8"/>
    <w:rsid w:val="001504B4"/>
    <w:rsid w:val="00161B35"/>
    <w:rsid w:val="00180BB9"/>
    <w:rsid w:val="001825D7"/>
    <w:rsid w:val="00183EF9"/>
    <w:rsid w:val="0018618E"/>
    <w:rsid w:val="001975EB"/>
    <w:rsid w:val="001A7D6E"/>
    <w:rsid w:val="001B0C8C"/>
    <w:rsid w:val="001D173E"/>
    <w:rsid w:val="001F4B46"/>
    <w:rsid w:val="001F59F3"/>
    <w:rsid w:val="0020591C"/>
    <w:rsid w:val="00210923"/>
    <w:rsid w:val="002127DB"/>
    <w:rsid w:val="002162E0"/>
    <w:rsid w:val="002255AA"/>
    <w:rsid w:val="002301A8"/>
    <w:rsid w:val="00230DED"/>
    <w:rsid w:val="00230F7E"/>
    <w:rsid w:val="00231054"/>
    <w:rsid w:val="002378D0"/>
    <w:rsid w:val="00242065"/>
    <w:rsid w:val="00242A8E"/>
    <w:rsid w:val="00255514"/>
    <w:rsid w:val="00270194"/>
    <w:rsid w:val="002727D8"/>
    <w:rsid w:val="0027378C"/>
    <w:rsid w:val="00281AAE"/>
    <w:rsid w:val="00285379"/>
    <w:rsid w:val="00294E95"/>
    <w:rsid w:val="00296FCC"/>
    <w:rsid w:val="002A02FE"/>
    <w:rsid w:val="002A7453"/>
    <w:rsid w:val="002A7595"/>
    <w:rsid w:val="002B0007"/>
    <w:rsid w:val="002B0F74"/>
    <w:rsid w:val="002B6CCB"/>
    <w:rsid w:val="002C196B"/>
    <w:rsid w:val="002D737D"/>
    <w:rsid w:val="002E0486"/>
    <w:rsid w:val="002F3EA2"/>
    <w:rsid w:val="002F3F0A"/>
    <w:rsid w:val="002F56D5"/>
    <w:rsid w:val="002F5F6D"/>
    <w:rsid w:val="00306125"/>
    <w:rsid w:val="00313943"/>
    <w:rsid w:val="003226BF"/>
    <w:rsid w:val="003303E6"/>
    <w:rsid w:val="00340069"/>
    <w:rsid w:val="00343866"/>
    <w:rsid w:val="00357EC4"/>
    <w:rsid w:val="00360666"/>
    <w:rsid w:val="0036472A"/>
    <w:rsid w:val="0036597F"/>
    <w:rsid w:val="00377787"/>
    <w:rsid w:val="00381CB6"/>
    <w:rsid w:val="003C576D"/>
    <w:rsid w:val="003D1294"/>
    <w:rsid w:val="003D1745"/>
    <w:rsid w:val="003E7F21"/>
    <w:rsid w:val="003F4752"/>
    <w:rsid w:val="003F6A7C"/>
    <w:rsid w:val="00403633"/>
    <w:rsid w:val="00407EFA"/>
    <w:rsid w:val="00414503"/>
    <w:rsid w:val="00415474"/>
    <w:rsid w:val="00420E1F"/>
    <w:rsid w:val="004211F9"/>
    <w:rsid w:val="00425B7D"/>
    <w:rsid w:val="00433F1A"/>
    <w:rsid w:val="00437E03"/>
    <w:rsid w:val="00441930"/>
    <w:rsid w:val="00445276"/>
    <w:rsid w:val="00455FDC"/>
    <w:rsid w:val="004572BE"/>
    <w:rsid w:val="00460F75"/>
    <w:rsid w:val="00461BD0"/>
    <w:rsid w:val="00472A07"/>
    <w:rsid w:val="004737DF"/>
    <w:rsid w:val="0048082A"/>
    <w:rsid w:val="00482963"/>
    <w:rsid w:val="00483297"/>
    <w:rsid w:val="004850B3"/>
    <w:rsid w:val="00490E97"/>
    <w:rsid w:val="00492F3E"/>
    <w:rsid w:val="00497187"/>
    <w:rsid w:val="004A1159"/>
    <w:rsid w:val="004A27E3"/>
    <w:rsid w:val="004A671F"/>
    <w:rsid w:val="004B1BF1"/>
    <w:rsid w:val="004B2B7D"/>
    <w:rsid w:val="004B6F5D"/>
    <w:rsid w:val="004B6F6E"/>
    <w:rsid w:val="004C1B30"/>
    <w:rsid w:val="004C5277"/>
    <w:rsid w:val="004C5D1A"/>
    <w:rsid w:val="004D0A43"/>
    <w:rsid w:val="004D26D5"/>
    <w:rsid w:val="004D6F63"/>
    <w:rsid w:val="004D7194"/>
    <w:rsid w:val="004E3994"/>
    <w:rsid w:val="00510596"/>
    <w:rsid w:val="00513C21"/>
    <w:rsid w:val="00525ED7"/>
    <w:rsid w:val="0053109B"/>
    <w:rsid w:val="0053176F"/>
    <w:rsid w:val="00534269"/>
    <w:rsid w:val="00537FAE"/>
    <w:rsid w:val="00543091"/>
    <w:rsid w:val="005517D4"/>
    <w:rsid w:val="00555818"/>
    <w:rsid w:val="00555B8A"/>
    <w:rsid w:val="00564D32"/>
    <w:rsid w:val="00585D8E"/>
    <w:rsid w:val="00590348"/>
    <w:rsid w:val="00591F30"/>
    <w:rsid w:val="00594C27"/>
    <w:rsid w:val="00594DBA"/>
    <w:rsid w:val="005A0119"/>
    <w:rsid w:val="005A33F7"/>
    <w:rsid w:val="005B01A1"/>
    <w:rsid w:val="005B0219"/>
    <w:rsid w:val="005B2D7A"/>
    <w:rsid w:val="005B7A56"/>
    <w:rsid w:val="005C227A"/>
    <w:rsid w:val="005E4290"/>
    <w:rsid w:val="005F0EA9"/>
    <w:rsid w:val="005F519A"/>
    <w:rsid w:val="00605982"/>
    <w:rsid w:val="00605ECB"/>
    <w:rsid w:val="0060787D"/>
    <w:rsid w:val="006141D8"/>
    <w:rsid w:val="006163F6"/>
    <w:rsid w:val="00617CCE"/>
    <w:rsid w:val="00630842"/>
    <w:rsid w:val="006338B7"/>
    <w:rsid w:val="00641399"/>
    <w:rsid w:val="00661F6E"/>
    <w:rsid w:val="0067151E"/>
    <w:rsid w:val="0067239E"/>
    <w:rsid w:val="0067295D"/>
    <w:rsid w:val="006743C1"/>
    <w:rsid w:val="00676781"/>
    <w:rsid w:val="006811E6"/>
    <w:rsid w:val="0068224C"/>
    <w:rsid w:val="0068789B"/>
    <w:rsid w:val="00690D46"/>
    <w:rsid w:val="006A4B07"/>
    <w:rsid w:val="006A4E19"/>
    <w:rsid w:val="006A64B3"/>
    <w:rsid w:val="006A7877"/>
    <w:rsid w:val="006B5C19"/>
    <w:rsid w:val="006C2820"/>
    <w:rsid w:val="006C6F74"/>
    <w:rsid w:val="006D65CC"/>
    <w:rsid w:val="006E2E57"/>
    <w:rsid w:val="006F451E"/>
    <w:rsid w:val="0071035E"/>
    <w:rsid w:val="007122B8"/>
    <w:rsid w:val="007142B2"/>
    <w:rsid w:val="00716F04"/>
    <w:rsid w:val="007202F1"/>
    <w:rsid w:val="007237B2"/>
    <w:rsid w:val="0074394D"/>
    <w:rsid w:val="00743B58"/>
    <w:rsid w:val="00753332"/>
    <w:rsid w:val="007536C5"/>
    <w:rsid w:val="0076202B"/>
    <w:rsid w:val="00762A4E"/>
    <w:rsid w:val="00771F7B"/>
    <w:rsid w:val="00774393"/>
    <w:rsid w:val="00784C36"/>
    <w:rsid w:val="0078691C"/>
    <w:rsid w:val="00792EE1"/>
    <w:rsid w:val="0079353B"/>
    <w:rsid w:val="00793ABD"/>
    <w:rsid w:val="007B6E37"/>
    <w:rsid w:val="007C2936"/>
    <w:rsid w:val="007C2F13"/>
    <w:rsid w:val="007D1132"/>
    <w:rsid w:val="007D5E43"/>
    <w:rsid w:val="007E443F"/>
    <w:rsid w:val="007E6BF9"/>
    <w:rsid w:val="007F1412"/>
    <w:rsid w:val="007F550E"/>
    <w:rsid w:val="00811ED4"/>
    <w:rsid w:val="00817ABD"/>
    <w:rsid w:val="00830C86"/>
    <w:rsid w:val="00834D31"/>
    <w:rsid w:val="0083607E"/>
    <w:rsid w:val="00836ED0"/>
    <w:rsid w:val="00842B10"/>
    <w:rsid w:val="00853AA9"/>
    <w:rsid w:val="00863E26"/>
    <w:rsid w:val="00864DF1"/>
    <w:rsid w:val="00867607"/>
    <w:rsid w:val="00873559"/>
    <w:rsid w:val="00874872"/>
    <w:rsid w:val="00876936"/>
    <w:rsid w:val="00885286"/>
    <w:rsid w:val="00892AD2"/>
    <w:rsid w:val="008961DA"/>
    <w:rsid w:val="008A6329"/>
    <w:rsid w:val="008B163F"/>
    <w:rsid w:val="008B5FE0"/>
    <w:rsid w:val="008C3544"/>
    <w:rsid w:val="008C3F08"/>
    <w:rsid w:val="008C3FD5"/>
    <w:rsid w:val="008C50FC"/>
    <w:rsid w:val="008D2A37"/>
    <w:rsid w:val="008D45DE"/>
    <w:rsid w:val="008F1A12"/>
    <w:rsid w:val="00915A01"/>
    <w:rsid w:val="00925383"/>
    <w:rsid w:val="00937BFD"/>
    <w:rsid w:val="00940AFD"/>
    <w:rsid w:val="0094417F"/>
    <w:rsid w:val="00944CAC"/>
    <w:rsid w:val="00946DB1"/>
    <w:rsid w:val="00950B84"/>
    <w:rsid w:val="00957C04"/>
    <w:rsid w:val="00960C58"/>
    <w:rsid w:val="00971296"/>
    <w:rsid w:val="009747A4"/>
    <w:rsid w:val="009772D0"/>
    <w:rsid w:val="00990CC1"/>
    <w:rsid w:val="00993B7C"/>
    <w:rsid w:val="00996655"/>
    <w:rsid w:val="00997473"/>
    <w:rsid w:val="009A2990"/>
    <w:rsid w:val="009A4681"/>
    <w:rsid w:val="009A5E58"/>
    <w:rsid w:val="009A637A"/>
    <w:rsid w:val="009B0172"/>
    <w:rsid w:val="009B0DBA"/>
    <w:rsid w:val="009C02EC"/>
    <w:rsid w:val="009C1134"/>
    <w:rsid w:val="009C30B8"/>
    <w:rsid w:val="009E0ACD"/>
    <w:rsid w:val="009E0BE0"/>
    <w:rsid w:val="009F7D66"/>
    <w:rsid w:val="00A0010F"/>
    <w:rsid w:val="00A01748"/>
    <w:rsid w:val="00A054B0"/>
    <w:rsid w:val="00A221C8"/>
    <w:rsid w:val="00A226B3"/>
    <w:rsid w:val="00A31D1A"/>
    <w:rsid w:val="00A36A72"/>
    <w:rsid w:val="00A5096A"/>
    <w:rsid w:val="00A57A01"/>
    <w:rsid w:val="00A6152A"/>
    <w:rsid w:val="00A701EE"/>
    <w:rsid w:val="00A75990"/>
    <w:rsid w:val="00A8163C"/>
    <w:rsid w:val="00A909A1"/>
    <w:rsid w:val="00A946F5"/>
    <w:rsid w:val="00A95974"/>
    <w:rsid w:val="00A95F7D"/>
    <w:rsid w:val="00AA58AF"/>
    <w:rsid w:val="00AB3392"/>
    <w:rsid w:val="00AB3F27"/>
    <w:rsid w:val="00AC0F56"/>
    <w:rsid w:val="00AC0FAE"/>
    <w:rsid w:val="00AC13E4"/>
    <w:rsid w:val="00AD5C3B"/>
    <w:rsid w:val="00AE3108"/>
    <w:rsid w:val="00AE5520"/>
    <w:rsid w:val="00AF2ECF"/>
    <w:rsid w:val="00B12589"/>
    <w:rsid w:val="00B14C02"/>
    <w:rsid w:val="00B170A5"/>
    <w:rsid w:val="00B2285E"/>
    <w:rsid w:val="00B25FC5"/>
    <w:rsid w:val="00B26F71"/>
    <w:rsid w:val="00B3142D"/>
    <w:rsid w:val="00B415A7"/>
    <w:rsid w:val="00B422D0"/>
    <w:rsid w:val="00B50528"/>
    <w:rsid w:val="00B53D42"/>
    <w:rsid w:val="00B557AB"/>
    <w:rsid w:val="00B57AE3"/>
    <w:rsid w:val="00B63C6B"/>
    <w:rsid w:val="00B64988"/>
    <w:rsid w:val="00B65893"/>
    <w:rsid w:val="00B67FD6"/>
    <w:rsid w:val="00B80366"/>
    <w:rsid w:val="00B814D2"/>
    <w:rsid w:val="00B823E2"/>
    <w:rsid w:val="00B90660"/>
    <w:rsid w:val="00BA7A1C"/>
    <w:rsid w:val="00BB0596"/>
    <w:rsid w:val="00BB10C3"/>
    <w:rsid w:val="00BB3BD9"/>
    <w:rsid w:val="00BB5E36"/>
    <w:rsid w:val="00BC019C"/>
    <w:rsid w:val="00BC1816"/>
    <w:rsid w:val="00BC5906"/>
    <w:rsid w:val="00BC7682"/>
    <w:rsid w:val="00BD24AA"/>
    <w:rsid w:val="00BD4827"/>
    <w:rsid w:val="00BD668E"/>
    <w:rsid w:val="00BD7CEE"/>
    <w:rsid w:val="00BE242D"/>
    <w:rsid w:val="00BE5F3B"/>
    <w:rsid w:val="00C04453"/>
    <w:rsid w:val="00C0489B"/>
    <w:rsid w:val="00C04D64"/>
    <w:rsid w:val="00C07923"/>
    <w:rsid w:val="00C119D3"/>
    <w:rsid w:val="00C23850"/>
    <w:rsid w:val="00C25C03"/>
    <w:rsid w:val="00C268F5"/>
    <w:rsid w:val="00C359AE"/>
    <w:rsid w:val="00C46C29"/>
    <w:rsid w:val="00C47257"/>
    <w:rsid w:val="00C531D5"/>
    <w:rsid w:val="00C540CB"/>
    <w:rsid w:val="00C71690"/>
    <w:rsid w:val="00C71913"/>
    <w:rsid w:val="00C719B7"/>
    <w:rsid w:val="00C72292"/>
    <w:rsid w:val="00C74FE5"/>
    <w:rsid w:val="00C75118"/>
    <w:rsid w:val="00C8548F"/>
    <w:rsid w:val="00C87A4C"/>
    <w:rsid w:val="00C94BEC"/>
    <w:rsid w:val="00CA029A"/>
    <w:rsid w:val="00CA26BE"/>
    <w:rsid w:val="00CA2768"/>
    <w:rsid w:val="00CA3473"/>
    <w:rsid w:val="00CA3CCA"/>
    <w:rsid w:val="00CA71F8"/>
    <w:rsid w:val="00CB0817"/>
    <w:rsid w:val="00CB48EF"/>
    <w:rsid w:val="00CC40AC"/>
    <w:rsid w:val="00CC6856"/>
    <w:rsid w:val="00CE0784"/>
    <w:rsid w:val="00CE15F1"/>
    <w:rsid w:val="00CE6B16"/>
    <w:rsid w:val="00CF614D"/>
    <w:rsid w:val="00D00924"/>
    <w:rsid w:val="00D00F20"/>
    <w:rsid w:val="00D127F5"/>
    <w:rsid w:val="00D134FC"/>
    <w:rsid w:val="00D15119"/>
    <w:rsid w:val="00D21CFC"/>
    <w:rsid w:val="00D23433"/>
    <w:rsid w:val="00D31206"/>
    <w:rsid w:val="00D3222A"/>
    <w:rsid w:val="00D36A11"/>
    <w:rsid w:val="00D40533"/>
    <w:rsid w:val="00D45012"/>
    <w:rsid w:val="00D522FE"/>
    <w:rsid w:val="00D5306C"/>
    <w:rsid w:val="00D61CA3"/>
    <w:rsid w:val="00D664C9"/>
    <w:rsid w:val="00D7304F"/>
    <w:rsid w:val="00D76E58"/>
    <w:rsid w:val="00D85879"/>
    <w:rsid w:val="00D92427"/>
    <w:rsid w:val="00DA1398"/>
    <w:rsid w:val="00DA595D"/>
    <w:rsid w:val="00DA6CCC"/>
    <w:rsid w:val="00DA6FDC"/>
    <w:rsid w:val="00DD1097"/>
    <w:rsid w:val="00DD303A"/>
    <w:rsid w:val="00DD35ED"/>
    <w:rsid w:val="00DE2357"/>
    <w:rsid w:val="00DF673C"/>
    <w:rsid w:val="00E01D00"/>
    <w:rsid w:val="00E03AC4"/>
    <w:rsid w:val="00E1158B"/>
    <w:rsid w:val="00E11996"/>
    <w:rsid w:val="00E11E3C"/>
    <w:rsid w:val="00E271F7"/>
    <w:rsid w:val="00E273F5"/>
    <w:rsid w:val="00E345CA"/>
    <w:rsid w:val="00E3651A"/>
    <w:rsid w:val="00E46947"/>
    <w:rsid w:val="00E47C06"/>
    <w:rsid w:val="00E53FBB"/>
    <w:rsid w:val="00E61770"/>
    <w:rsid w:val="00E634FB"/>
    <w:rsid w:val="00E661B2"/>
    <w:rsid w:val="00E77B2F"/>
    <w:rsid w:val="00E91871"/>
    <w:rsid w:val="00E94D02"/>
    <w:rsid w:val="00E96789"/>
    <w:rsid w:val="00EB1A5E"/>
    <w:rsid w:val="00EB638D"/>
    <w:rsid w:val="00EC0643"/>
    <w:rsid w:val="00EE0AD5"/>
    <w:rsid w:val="00EE1728"/>
    <w:rsid w:val="00EE5F59"/>
    <w:rsid w:val="00EE7DA6"/>
    <w:rsid w:val="00EF40F0"/>
    <w:rsid w:val="00EF6204"/>
    <w:rsid w:val="00EF6AA8"/>
    <w:rsid w:val="00F03883"/>
    <w:rsid w:val="00F066E7"/>
    <w:rsid w:val="00F10106"/>
    <w:rsid w:val="00F14DBB"/>
    <w:rsid w:val="00F22052"/>
    <w:rsid w:val="00F23DDE"/>
    <w:rsid w:val="00F421AE"/>
    <w:rsid w:val="00F61AA0"/>
    <w:rsid w:val="00F62D96"/>
    <w:rsid w:val="00F73ABE"/>
    <w:rsid w:val="00F83B07"/>
    <w:rsid w:val="00F86E9B"/>
    <w:rsid w:val="00F935DB"/>
    <w:rsid w:val="00F95186"/>
    <w:rsid w:val="00FA311C"/>
    <w:rsid w:val="00FA61E9"/>
    <w:rsid w:val="00FB243C"/>
    <w:rsid w:val="00FB28C3"/>
    <w:rsid w:val="00FB3F33"/>
    <w:rsid w:val="00FB4B54"/>
    <w:rsid w:val="00FB4C37"/>
    <w:rsid w:val="00FB634F"/>
    <w:rsid w:val="00FB684D"/>
    <w:rsid w:val="00FC0EEE"/>
    <w:rsid w:val="00FC3B66"/>
    <w:rsid w:val="00FD0A6D"/>
    <w:rsid w:val="00FD0D4F"/>
    <w:rsid w:val="00FD57D0"/>
    <w:rsid w:val="00FE046D"/>
    <w:rsid w:val="00FE6272"/>
    <w:rsid w:val="00FE6D45"/>
    <w:rsid w:val="00FE7702"/>
    <w:rsid w:val="00FF28B7"/>
    <w:rsid w:val="08446E14"/>
    <w:rsid w:val="09B46716"/>
    <w:rsid w:val="0A0C66B1"/>
    <w:rsid w:val="0D8E5412"/>
    <w:rsid w:val="11B3094C"/>
    <w:rsid w:val="1C9D0C48"/>
    <w:rsid w:val="1E4239EB"/>
    <w:rsid w:val="322300A9"/>
    <w:rsid w:val="342529B5"/>
    <w:rsid w:val="39FC5302"/>
    <w:rsid w:val="43030965"/>
    <w:rsid w:val="43644679"/>
    <w:rsid w:val="495530B0"/>
    <w:rsid w:val="4ACE3B4D"/>
    <w:rsid w:val="4FC41C25"/>
    <w:rsid w:val="50A25631"/>
    <w:rsid w:val="52FE26C0"/>
    <w:rsid w:val="5E635AA3"/>
    <w:rsid w:val="5EBA345B"/>
    <w:rsid w:val="5F1C1C16"/>
    <w:rsid w:val="61AA519D"/>
    <w:rsid w:val="688516CF"/>
    <w:rsid w:val="71231686"/>
    <w:rsid w:val="72121DE8"/>
    <w:rsid w:val="72AD1774"/>
    <w:rsid w:val="7A477477"/>
    <w:rsid w:val="7A7A027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alloon Text"/>
    <w:basedOn w:val="1"/>
    <w:link w:val="12"/>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Strong"/>
    <w:qFormat/>
    <w:uiPriority w:val="0"/>
    <w:rPr>
      <w:b/>
      <w:bCs/>
    </w:rPr>
  </w:style>
  <w:style w:type="character" w:styleId="9">
    <w:name w:val="page number"/>
    <w:basedOn w:val="7"/>
    <w:uiPriority w:val="0"/>
  </w:style>
  <w:style w:type="paragraph" w:customStyle="1" w:styleId="10">
    <w:name w:val=" Char"/>
    <w:basedOn w:val="1"/>
    <w:uiPriority w:val="0"/>
    <w:rPr>
      <w:rFonts w:ascii="Tahoma" w:hAnsi="Tahoma"/>
      <w:sz w:val="24"/>
      <w:szCs w:val="20"/>
    </w:rPr>
  </w:style>
  <w:style w:type="character" w:customStyle="1" w:styleId="11">
    <w:name w:val="页眉 Char"/>
    <w:link w:val="4"/>
    <w:uiPriority w:val="0"/>
    <w:rPr>
      <w:kern w:val="2"/>
      <w:sz w:val="18"/>
      <w:szCs w:val="18"/>
    </w:rPr>
  </w:style>
  <w:style w:type="character" w:customStyle="1" w:styleId="12">
    <w:name w:val="批注框文本 Char"/>
    <w:link w:val="2"/>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2003</Words>
  <Characters>11420</Characters>
  <Lines>95</Lines>
  <Paragraphs>26</Paragraphs>
  <TotalTime>30</TotalTime>
  <ScaleCrop>false</ScaleCrop>
  <LinksUpToDate>false</LinksUpToDate>
  <CharactersWithSpaces>13397</CharactersWithSpaces>
  <Application>WPS Office_11.3.0.8632_F1E327BC-269C-435d-A152-05C5408002CA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2018-10-30T08:52:00Z</dcterms:created>
  <dc:creator>china</dc:creator>
  <cp:lastModifiedBy>lupeiqing</cp:lastModifiedBy>
  <cp:lastPrinted>2019-11-01T07:58:00Z</cp:lastPrinted>
  <dcterms:modified xsi:type="dcterms:W3CDTF">2019-11-06T06:02:17Z</dcterms:modified>
  <dc:title>《2013-2014年度上海材料研究所学位与研究生教育质量年度报告》</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