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hint="eastAsia" w:ascii="仿宋_GB2312" w:hAnsi="仿宋_GB2312" w:eastAsia="仿宋_GB2312" w:cs="仿宋_GB2312"/>
          <w:sz w:val="30"/>
          <w:szCs w:val="30"/>
          <w:lang w:val="en-US" w:eastAsia="zh-CN"/>
        </w:rPr>
      </w:pPr>
      <w:r>
        <w:rPr>
          <w:rFonts w:hint="eastAsia" w:ascii="黑体" w:hAnsi="黑体" w:eastAsia="黑体" w:cs="黑体"/>
          <w:sz w:val="30"/>
          <w:szCs w:val="30"/>
        </w:rPr>
        <w:t>附件</w:t>
      </w:r>
      <w:r>
        <w:rPr>
          <w:rFonts w:hint="eastAsia" w:ascii="黑体" w:hAnsi="黑体" w:eastAsia="黑体" w:cs="黑体"/>
          <w:sz w:val="30"/>
          <w:szCs w:val="30"/>
          <w:lang w:val="en-US" w:eastAsia="zh-CN"/>
        </w:rPr>
        <w:t>2</w:t>
      </w:r>
    </w:p>
    <w:p>
      <w:pPr>
        <w:snapToGrid w:val="0"/>
        <w:spacing w:after="156" w:afterLines="50" w:line="360" w:lineRule="auto"/>
        <w:jc w:val="center"/>
        <w:rPr>
          <w:rFonts w:hint="eastAsia" w:ascii="华文中宋" w:hAnsi="华文中宋" w:eastAsia="华文中宋" w:cs="华文中宋"/>
          <w:b/>
          <w:spacing w:val="-6"/>
          <w:sz w:val="32"/>
          <w:szCs w:val="32"/>
        </w:rPr>
      </w:pPr>
      <w:r>
        <w:rPr>
          <w:rFonts w:hint="eastAsia" w:ascii="华文中宋" w:hAnsi="华文中宋" w:eastAsia="华文中宋" w:cs="华文中宋"/>
          <w:b/>
          <w:spacing w:val="-6"/>
          <w:sz w:val="32"/>
          <w:szCs w:val="32"/>
        </w:rPr>
        <w:t>《上海学位与研究生教育质量年度报告》支撑数据及数据说明</w:t>
      </w:r>
    </w:p>
    <w:tbl>
      <w:tblPr>
        <w:tblStyle w:val="3"/>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620"/>
        <w:gridCol w:w="270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序号</w:t>
            </w:r>
          </w:p>
        </w:tc>
        <w:tc>
          <w:tcPr>
            <w:tcW w:w="1620"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支撑内容</w:t>
            </w:r>
          </w:p>
        </w:tc>
        <w:tc>
          <w:tcPr>
            <w:tcW w:w="2700"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数据名称</w:t>
            </w:r>
          </w:p>
        </w:tc>
        <w:tc>
          <w:tcPr>
            <w:tcW w:w="3240"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数据说明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p>
        </w:tc>
        <w:tc>
          <w:tcPr>
            <w:tcW w:w="162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学位点数量及结构</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硕士学位点数量及结构</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博士学位点数量及结构</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一级学科硕士点一个：材料科学与工程，</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二级学科硕士点一个：测试计量技术及仪器。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p>
        </w:tc>
        <w:tc>
          <w:tcPr>
            <w:tcW w:w="162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各类重点建设的学科情况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国家级重点学科；</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上海市级重点建设学科</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bookmarkStart w:id="0" w:name="_GoBack" w:colFirst="3" w:colLast="3"/>
            <w:r>
              <w:rPr>
                <w:rFonts w:hint="eastAsia" w:ascii="仿宋_GB2312" w:hAnsi="仿宋_GB2312" w:eastAsia="仿宋_GB2312" w:cs="仿宋_GB2312"/>
                <w:sz w:val="30"/>
                <w:szCs w:val="30"/>
              </w:rPr>
              <w:t>3</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学科评估水平</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全国学科排名前五档情况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未参加排名</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其他学科评估排名情况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未参加排名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学士学位授权专业情况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学士学位授权专业数量及结构</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第二学士学位授权情况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研究生招生及生源情况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报考人数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招生计划数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录取人数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本所5人，联合培养10人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报到人数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本所5人，联合培养11人（联合培养一年级在高校报到，二年级起到所报到）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第一志愿录取人数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复试总分数线</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过国家分数线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录取推免硕士生人数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录取直博生和硕博连读生人数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研究生规模及结构</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在校研究生数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46人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研究生与本科生比</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无本科生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攻读学位的留学生人数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研究生退学人数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研究生教育教学资源情况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重点研究基地数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科研项目数及科研总经费</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80项，逾2000万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人才培养基地数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研究生教育经费投入情况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研究生奖助学金资金总额</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导师出资资助研究生的金额总数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51万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获各类奖学金研究生人次</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一等奖4人，二等奖6人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w:t>
            </w:r>
          </w:p>
        </w:tc>
        <w:tc>
          <w:tcPr>
            <w:tcW w:w="162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研究生课程建设情况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当年全校开设研究生课程的总门数及总门次</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研究生基础课程挂靠在复旦大学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研究生教育创新计划实施情况及成效</w:t>
            </w:r>
          </w:p>
          <w:p>
            <w:pPr>
              <w:spacing w:line="360" w:lineRule="auto"/>
              <w:rPr>
                <w:rFonts w:hint="eastAsia" w:ascii="仿宋_GB2312" w:hAnsi="仿宋_GB2312" w:eastAsia="仿宋_GB2312" w:cs="仿宋_GB2312"/>
                <w:sz w:val="30"/>
                <w:szCs w:val="30"/>
              </w:rPr>
            </w:pPr>
          </w:p>
          <w:p>
            <w:pPr>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研究生教育创新计划项目数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市级及以上学术论坛数及参与学生情况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校级学术论坛、讲座及学生参与情况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每月设有月报告会或导师论坛、上海材料研究所上材论坛等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研究生暑期学校及学生参与情况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导师队伍规模与结构</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导师队伍人数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18人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研究生生师比</w:t>
            </w:r>
          </w:p>
        </w:tc>
        <w:tc>
          <w:tcPr>
            <w:tcW w:w="3240" w:type="dxa"/>
            <w:noWrap w:val="0"/>
            <w:vAlign w:val="center"/>
          </w:tcPr>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师生比为1.2:1</w:t>
            </w:r>
          </w:p>
          <w:p>
            <w:pPr>
              <w:snapToGrid w:val="0"/>
              <w:spacing w:line="360" w:lineRule="auto"/>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导师队伍结构</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其中45岁以下3人，46-55岁8人，56岁以上7人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校外兼职导师数、兼职导师指导学生数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校外兼职导师29人，指导联合培养学生31人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学位授予情况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学位授予人数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本所5人，联合培养7人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研究生如期取得学位率</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当年授予学位人数及当年取得学位的研究生学习年数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本所5人学习年数3年，联合培养4人2.5年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参加学位论文盲审数及异议篇次</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2019年参加机械研究总院系统内盲审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硕博士论文抽检数及异议篇次</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5篇， 无异议篇次。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撤销学位人数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w:t>
            </w:r>
          </w:p>
        </w:tc>
        <w:tc>
          <w:tcPr>
            <w:tcW w:w="162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研究生就业情况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毕业研究生签约率</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毕业研究生就业去向</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毕业研究生就业单位性质</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毕业研究生签约率：100%， 毕业研究生就业去向：12位学生中：2人升学读博（学校：复旦大学、西安交通大学），10人进入其他企业工作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研究生教育管理与服务</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研究生教育管理制度体系建设情况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初步形成了</w:t>
            </w:r>
            <w:r>
              <w:rPr>
                <w:rFonts w:hint="eastAsia" w:ascii="仿宋_GB2312" w:hAnsi="仿宋_GB2312" w:eastAsia="仿宋_GB2312" w:cs="仿宋_GB2312"/>
                <w:sz w:val="30"/>
                <w:szCs w:val="30"/>
              </w:rPr>
              <w:t>在科研院所内以科研共同体为依托并以学位论文的定量化过程化管理为主线，以及导师论坛、研究生月报告会为副线的研究生培养体系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研究生教育管理人员总数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研究生教育、教学研究方面的论文数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2018至2019年无论文发表。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研究生对培养过程的满意程度</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学生学习满意度</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用人单位对毕业生满意度</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满意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2"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研究生学术成果及科研获奖情况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研究生论文发表数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研究生论文核心期刊数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研究生取得授权专利数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以在校研究生为主要完成人的科研获奖情况</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188" w:type="dxa"/>
            <w:vMerge w:val="restart"/>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17</w:t>
            </w:r>
          </w:p>
        </w:tc>
        <w:tc>
          <w:tcPr>
            <w:tcW w:w="1620" w:type="dxa"/>
            <w:vMerge w:val="restart"/>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研究生教育国际化情况</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派出境外交流的研究生人次</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接收境外来华交流的研究生层次的学生人数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聘任担任研究生教育任务的外籍教师数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188" w:type="dxa"/>
            <w:vMerge w:val="continue"/>
            <w:noWrap w:val="0"/>
            <w:vAlign w:val="center"/>
          </w:tcPr>
          <w:p>
            <w:pPr>
              <w:snapToGrid w:val="0"/>
              <w:spacing w:line="360" w:lineRule="auto"/>
              <w:jc w:val="center"/>
              <w:rPr>
                <w:rFonts w:hint="eastAsia" w:ascii="仿宋_GB2312" w:hAnsi="仿宋_GB2312" w:eastAsia="仿宋_GB2312" w:cs="仿宋_GB2312"/>
                <w:sz w:val="30"/>
                <w:szCs w:val="30"/>
              </w:rPr>
            </w:pPr>
          </w:p>
        </w:tc>
        <w:tc>
          <w:tcPr>
            <w:tcW w:w="1620" w:type="dxa"/>
            <w:vMerge w:val="continue"/>
            <w:noWrap w:val="0"/>
            <w:vAlign w:val="center"/>
          </w:tcPr>
          <w:p>
            <w:pPr>
              <w:snapToGrid w:val="0"/>
              <w:spacing w:line="360" w:lineRule="auto"/>
              <w:rPr>
                <w:rFonts w:hint="eastAsia" w:ascii="仿宋_GB2312" w:hAnsi="仿宋_GB2312" w:eastAsia="仿宋_GB2312" w:cs="仿宋_GB2312"/>
                <w:sz w:val="30"/>
                <w:szCs w:val="30"/>
              </w:rPr>
            </w:pPr>
          </w:p>
        </w:tc>
        <w:tc>
          <w:tcPr>
            <w:tcW w:w="270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国际合作项目数</w:t>
            </w:r>
          </w:p>
        </w:tc>
        <w:tc>
          <w:tcPr>
            <w:tcW w:w="324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8" w:type="dxa"/>
            <w:noWrap w:val="0"/>
            <w:vAlign w:val="center"/>
          </w:tcPr>
          <w:p>
            <w:pPr>
              <w:snapToGrid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18</w:t>
            </w:r>
          </w:p>
        </w:tc>
        <w:tc>
          <w:tcPr>
            <w:tcW w:w="1620" w:type="dxa"/>
            <w:noWrap w:val="0"/>
            <w:vAlign w:val="center"/>
          </w:tcPr>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其他与研究生教育质量相关数据</w:t>
            </w:r>
          </w:p>
        </w:tc>
        <w:tc>
          <w:tcPr>
            <w:tcW w:w="2700" w:type="dxa"/>
            <w:noWrap w:val="0"/>
            <w:vAlign w:val="center"/>
          </w:tcPr>
          <w:p>
            <w:pPr>
              <w:snapToGrid w:val="0"/>
              <w:spacing w:line="360" w:lineRule="auto"/>
              <w:rPr>
                <w:rFonts w:hint="eastAsia" w:ascii="仿宋_GB2312" w:hAnsi="仿宋_GB2312" w:eastAsia="仿宋_GB2312" w:cs="仿宋_GB2312"/>
                <w:sz w:val="30"/>
                <w:szCs w:val="30"/>
              </w:rPr>
            </w:pPr>
          </w:p>
        </w:tc>
        <w:tc>
          <w:tcPr>
            <w:tcW w:w="3240" w:type="dxa"/>
            <w:noWrap w:val="0"/>
            <w:vAlign w:val="center"/>
          </w:tcPr>
          <w:p>
            <w:pPr>
              <w:snapToGrid w:val="0"/>
              <w:spacing w:line="360" w:lineRule="auto"/>
              <w:rPr>
                <w:rFonts w:hint="eastAsia" w:ascii="仿宋_GB2312" w:hAnsi="仿宋_GB2312" w:eastAsia="仿宋_GB2312" w:cs="仿宋_GB2312"/>
                <w:sz w:val="30"/>
                <w:szCs w:val="30"/>
              </w:rPr>
            </w:pPr>
          </w:p>
        </w:tc>
      </w:tr>
    </w:tbl>
    <w:p>
      <w:pPr>
        <w:snapToGrid w:val="0"/>
        <w:spacing w:line="360" w:lineRule="auto"/>
        <w:rPr>
          <w:rFonts w:hint="eastAsia" w:ascii="仿宋_GB2312" w:hAnsi="仿宋_GB2312" w:eastAsia="仿宋_GB2312" w:cs="仿宋_GB2312"/>
          <w:sz w:val="30"/>
          <w:szCs w:val="30"/>
        </w:rPr>
      </w:pP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
      </w:rPr>
    </w:pPr>
    <w:r>
      <w:fldChar w:fldCharType="begin"/>
    </w:r>
    <w:r>
      <w:rPr>
        <w:rStyle w:val="5"/>
      </w:rPr>
      <w:instrText xml:space="preserve">PAGE  </w:instrText>
    </w:r>
    <w:r>
      <w:fldChar w:fldCharType="separate"/>
    </w:r>
    <w:r>
      <w:rPr>
        <w:rStyle w:val="5"/>
      </w:rPr>
      <w:t>5</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
      </w:rPr>
    </w:pPr>
    <w:r>
      <w:fldChar w:fldCharType="begin"/>
    </w:r>
    <w:r>
      <w:rPr>
        <w:rStyle w:val="5"/>
      </w:rPr>
      <w:instrText xml:space="preserve">PAGE  </w:instrTex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217740"/>
    <w:rsid w:val="5D7468EA"/>
    <w:rsid w:val="651D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lupeiqing</dc:creator>
  <cp:lastModifiedBy>lupeiqing</cp:lastModifiedBy>
  <dcterms:modified xsi:type="dcterms:W3CDTF">2019-11-06T02:58:14Z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